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AD9" w:rsidRPr="001E2936" w:rsidRDefault="00647AD9" w:rsidP="00647AD9">
      <w:pPr>
        <w:jc w:val="both"/>
        <w:rPr>
          <w:rFonts w:ascii="AvantGarde Bk BT" w:eastAsia="Arial" w:hAnsi="AvantGarde Bk BT" w:cs="Arial"/>
          <w:b/>
          <w:sz w:val="20"/>
          <w:szCs w:val="20"/>
        </w:rPr>
      </w:pPr>
    </w:p>
    <w:p w:rsidR="00647AD9" w:rsidRPr="001E2936" w:rsidRDefault="00647AD9" w:rsidP="00647AD9">
      <w:pPr>
        <w:jc w:val="both"/>
        <w:rPr>
          <w:rFonts w:ascii="AvantGarde Bk BT" w:eastAsia="Arial" w:hAnsi="AvantGarde Bk BT" w:cs="Arial"/>
          <w:b/>
          <w:sz w:val="20"/>
          <w:szCs w:val="20"/>
        </w:rPr>
      </w:pPr>
    </w:p>
    <w:p w:rsidR="00647AD9" w:rsidRPr="001E2936" w:rsidRDefault="00647AD9" w:rsidP="00647AD9">
      <w:pPr>
        <w:jc w:val="both"/>
        <w:rPr>
          <w:rFonts w:ascii="AvantGarde Bk BT" w:eastAsia="Arial" w:hAnsi="AvantGarde Bk BT" w:cs="Arial"/>
          <w:b/>
          <w:sz w:val="20"/>
          <w:szCs w:val="20"/>
        </w:rPr>
      </w:pPr>
    </w:p>
    <w:p w:rsidR="00647AD9" w:rsidRPr="001E2936" w:rsidRDefault="00647AD9" w:rsidP="00647AD9">
      <w:pPr>
        <w:jc w:val="both"/>
        <w:rPr>
          <w:rFonts w:ascii="AvantGarde Bk BT" w:eastAsia="Arial" w:hAnsi="AvantGarde Bk BT" w:cs="Arial"/>
          <w:b/>
          <w:sz w:val="20"/>
          <w:szCs w:val="20"/>
        </w:rPr>
      </w:pPr>
    </w:p>
    <w:p w:rsidR="00647AD9" w:rsidRPr="001E2936" w:rsidRDefault="00647AD9" w:rsidP="00647AD9">
      <w:pPr>
        <w:jc w:val="both"/>
        <w:rPr>
          <w:rFonts w:ascii="AvantGarde Bk BT" w:eastAsia="Arial" w:hAnsi="AvantGarde Bk BT" w:cs="Arial"/>
          <w:b/>
          <w:sz w:val="20"/>
          <w:szCs w:val="20"/>
        </w:rPr>
      </w:pPr>
    </w:p>
    <w:p w:rsidR="00647AD9" w:rsidRPr="001E2936" w:rsidRDefault="00647AD9" w:rsidP="00647AD9">
      <w:pPr>
        <w:jc w:val="both"/>
        <w:rPr>
          <w:rFonts w:ascii="AvantGarde Bk BT" w:eastAsia="Arial" w:hAnsi="AvantGarde Bk BT" w:cs="Arial"/>
          <w:b/>
          <w:sz w:val="20"/>
          <w:szCs w:val="20"/>
        </w:rPr>
      </w:pPr>
      <w:r w:rsidRPr="001E2936">
        <w:rPr>
          <w:rFonts w:ascii="AvantGarde Bk BT" w:eastAsia="Arial" w:hAnsi="AvantGarde Bk BT" w:cs="Arial"/>
          <w:b/>
          <w:sz w:val="20"/>
          <w:szCs w:val="20"/>
        </w:rPr>
        <w:t>H. CONSEJO GENERAL UNIVERSITARIO</w:t>
      </w:r>
    </w:p>
    <w:p w:rsidR="00647AD9" w:rsidRPr="001E2936" w:rsidRDefault="00647AD9" w:rsidP="00647AD9">
      <w:pPr>
        <w:jc w:val="both"/>
        <w:rPr>
          <w:rFonts w:ascii="AvantGarde Bk BT" w:eastAsia="Arial" w:hAnsi="AvantGarde Bk BT" w:cs="Arial"/>
          <w:b/>
          <w:sz w:val="20"/>
          <w:szCs w:val="20"/>
        </w:rPr>
      </w:pPr>
      <w:r w:rsidRPr="001E2936">
        <w:rPr>
          <w:rFonts w:ascii="AvantGarde Bk BT" w:eastAsia="Arial" w:hAnsi="AvantGarde Bk BT" w:cs="Arial"/>
          <w:b/>
          <w:sz w:val="20"/>
          <w:szCs w:val="20"/>
        </w:rPr>
        <w:t>PRESENTE</w:t>
      </w:r>
    </w:p>
    <w:p w:rsidR="00647AD9" w:rsidRPr="001E2936" w:rsidRDefault="00647AD9" w:rsidP="00647AD9">
      <w:pPr>
        <w:jc w:val="both"/>
        <w:rPr>
          <w:rFonts w:ascii="AvantGarde Bk BT" w:eastAsia="Arial" w:hAnsi="AvantGarde Bk BT" w:cs="Arial"/>
          <w:sz w:val="20"/>
          <w:szCs w:val="20"/>
        </w:rPr>
      </w:pPr>
    </w:p>
    <w:p w:rsidR="00647AD9" w:rsidRPr="001E2936" w:rsidRDefault="00647AD9" w:rsidP="00647AD9">
      <w:pPr>
        <w:jc w:val="both"/>
        <w:rPr>
          <w:rFonts w:ascii="AvantGarde Bk BT" w:eastAsia="Arial" w:hAnsi="AvantGarde Bk BT" w:cs="Arial"/>
          <w:sz w:val="20"/>
          <w:szCs w:val="20"/>
        </w:rPr>
      </w:pPr>
      <w:r w:rsidRPr="001E2936">
        <w:rPr>
          <w:rFonts w:ascii="AvantGarde Bk BT" w:eastAsia="Arial" w:hAnsi="AvantGarde Bk BT" w:cs="Arial"/>
          <w:sz w:val="20"/>
          <w:szCs w:val="20"/>
        </w:rPr>
        <w:t xml:space="preserve">A estas Comisiones </w:t>
      </w:r>
      <w:r w:rsidR="00AE24A2" w:rsidRPr="001E2936">
        <w:rPr>
          <w:rFonts w:ascii="AvantGarde Bk BT" w:eastAsia="Arial" w:hAnsi="AvantGarde Bk BT" w:cs="Arial"/>
          <w:sz w:val="20"/>
          <w:szCs w:val="20"/>
        </w:rPr>
        <w:t xml:space="preserve">Permanentes </w:t>
      </w:r>
      <w:r w:rsidRPr="001E2936">
        <w:rPr>
          <w:rFonts w:ascii="AvantGarde Bk BT" w:eastAsia="Arial" w:hAnsi="AvantGarde Bk BT" w:cs="Arial"/>
          <w:sz w:val="20"/>
          <w:szCs w:val="20"/>
        </w:rPr>
        <w:t xml:space="preserve">de Educación y de Hacienda, ha sido turnada una iniciativa del Rector General en la que propone la creación </w:t>
      </w:r>
      <w:r w:rsidR="001E2936" w:rsidRPr="001E2936">
        <w:rPr>
          <w:rFonts w:ascii="AvantGarde Bk BT" w:eastAsia="Arial" w:hAnsi="AvantGarde Bk BT" w:cs="Arial"/>
          <w:sz w:val="20"/>
          <w:szCs w:val="20"/>
        </w:rPr>
        <w:t>de la Unidad de Aprendizaje denominada</w:t>
      </w:r>
      <w:r w:rsidRPr="001E2936">
        <w:rPr>
          <w:rFonts w:ascii="AvantGarde Bk BT" w:eastAsia="Arial" w:hAnsi="AvantGarde Bk BT" w:cs="Arial"/>
          <w:sz w:val="20"/>
          <w:szCs w:val="20"/>
        </w:rPr>
        <w:t xml:space="preserve"> </w:t>
      </w:r>
      <w:r w:rsidRPr="001E2936">
        <w:rPr>
          <w:rFonts w:ascii="AvantGarde Bk BT" w:eastAsia="Arial" w:hAnsi="AvantGarde Bk BT" w:cs="Arial"/>
          <w:b/>
          <w:sz w:val="20"/>
          <w:szCs w:val="20"/>
        </w:rPr>
        <w:t>“Análisis de Problemas Globales del Siglo XXI”</w:t>
      </w:r>
      <w:r w:rsidRPr="001E2936">
        <w:rPr>
          <w:rFonts w:ascii="AvantGarde Bk BT" w:eastAsia="Arial" w:hAnsi="AvantGarde Bk BT" w:cs="Arial"/>
          <w:sz w:val="20"/>
          <w:szCs w:val="20"/>
        </w:rPr>
        <w:t>, obligatorio para nivel licenciatura en todos los Centros Universit</w:t>
      </w:r>
      <w:bookmarkStart w:id="0" w:name="_GoBack"/>
      <w:bookmarkEnd w:id="0"/>
      <w:r w:rsidRPr="001E2936">
        <w:rPr>
          <w:rFonts w:ascii="AvantGarde Bk BT" w:eastAsia="Arial" w:hAnsi="AvantGarde Bk BT" w:cs="Arial"/>
          <w:sz w:val="20"/>
          <w:szCs w:val="20"/>
        </w:rPr>
        <w:t xml:space="preserve">arios y planteles de la Universidad de Guadalajara, a partir del </w:t>
      </w:r>
      <w:r w:rsidR="006A66F7" w:rsidRPr="001E2936">
        <w:rPr>
          <w:rFonts w:ascii="AvantGarde Bk BT" w:eastAsia="Arial" w:hAnsi="AvantGarde Bk BT" w:cs="Arial"/>
          <w:sz w:val="20"/>
          <w:szCs w:val="20"/>
        </w:rPr>
        <w:t>calendario</w:t>
      </w:r>
      <w:r w:rsidRPr="001E2936">
        <w:rPr>
          <w:rFonts w:ascii="AvantGarde Bk BT" w:eastAsia="Arial" w:hAnsi="AvantGarde Bk BT" w:cs="Arial"/>
          <w:sz w:val="20"/>
          <w:szCs w:val="20"/>
        </w:rPr>
        <w:t xml:space="preserve"> escolar 202</w:t>
      </w:r>
      <w:r w:rsidR="006A66F7" w:rsidRPr="001E2936">
        <w:rPr>
          <w:rFonts w:ascii="AvantGarde Bk BT" w:eastAsia="Arial" w:hAnsi="AvantGarde Bk BT" w:cs="Arial"/>
          <w:sz w:val="20"/>
          <w:szCs w:val="20"/>
        </w:rPr>
        <w:t>4</w:t>
      </w:r>
      <w:r w:rsidR="00832871" w:rsidRPr="001E2936">
        <w:rPr>
          <w:rFonts w:ascii="AvantGarde Bk BT" w:eastAsia="Arial" w:hAnsi="AvantGarde Bk BT" w:cs="Arial"/>
          <w:sz w:val="20"/>
          <w:szCs w:val="20"/>
        </w:rPr>
        <w:t>-2025</w:t>
      </w:r>
      <w:r w:rsidRPr="001E2936">
        <w:rPr>
          <w:rFonts w:ascii="AvantGarde Bk BT" w:eastAsia="Arial" w:hAnsi="AvantGarde Bk BT" w:cs="Arial"/>
          <w:sz w:val="20"/>
          <w:szCs w:val="20"/>
        </w:rPr>
        <w:t>, conforme a los siguientes:</w:t>
      </w:r>
    </w:p>
    <w:p w:rsidR="00647AD9" w:rsidRPr="001E2936" w:rsidRDefault="00647AD9" w:rsidP="00647AD9">
      <w:pPr>
        <w:jc w:val="center"/>
        <w:rPr>
          <w:rFonts w:ascii="AvantGarde Bk BT" w:eastAsia="Arial" w:hAnsi="AvantGarde Bk BT" w:cs="Arial"/>
          <w:b/>
          <w:sz w:val="20"/>
          <w:szCs w:val="20"/>
        </w:rPr>
      </w:pPr>
    </w:p>
    <w:p w:rsidR="00647AD9" w:rsidRPr="001E2936" w:rsidRDefault="00647AD9" w:rsidP="00647AD9">
      <w:pPr>
        <w:jc w:val="center"/>
        <w:rPr>
          <w:rFonts w:ascii="AvantGarde Bk BT" w:eastAsia="Arial" w:hAnsi="AvantGarde Bk BT" w:cs="Arial"/>
          <w:b/>
          <w:sz w:val="20"/>
          <w:szCs w:val="20"/>
        </w:rPr>
      </w:pPr>
      <w:r w:rsidRPr="001E2936">
        <w:rPr>
          <w:rFonts w:ascii="AvantGarde Bk BT" w:eastAsia="Arial" w:hAnsi="AvantGarde Bk BT" w:cs="Arial"/>
          <w:b/>
          <w:sz w:val="20"/>
          <w:szCs w:val="20"/>
        </w:rPr>
        <w:t>ANTECEDENTES</w:t>
      </w:r>
    </w:p>
    <w:p w:rsidR="00647AD9" w:rsidRPr="001E2936" w:rsidRDefault="00647AD9" w:rsidP="00647AD9">
      <w:pPr>
        <w:jc w:val="center"/>
        <w:rPr>
          <w:rFonts w:ascii="AvantGarde Bk BT" w:eastAsia="Arial" w:hAnsi="AvantGarde Bk BT" w:cs="Arial"/>
          <w:b/>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 Benemérita Universidad de Guadalajara es una institución de educación superior pública, laica, autónoma y con personalidad jurídica y patrimonio propios, la cual se rige por el Artículo Tercero de la Constitución Política de los Estados Unidos Mexicanos, dedicada a formar seres humanos con las competencias profesionales, éticas, técnicas, científicas, estéticas, humanísticas, personales y emocionales, y capacitados para desempeñarse adecuadamente en el mundo laboral y social contemporáneo, enfrentar en forma eficaz sus desafíos, y aprovechar sus oportunidades en bien de la colectividad humana y para el libre florecimiento de las potencialidades de los individuos.</w:t>
      </w:r>
    </w:p>
    <w:p w:rsidR="00647AD9" w:rsidRPr="001E2936" w:rsidRDefault="00647AD9" w:rsidP="00647AD9">
      <w:pPr>
        <w:pBdr>
          <w:top w:val="nil"/>
          <w:left w:val="nil"/>
          <w:bottom w:val="nil"/>
          <w:right w:val="nil"/>
          <w:between w:val="nil"/>
        </w:pBdr>
        <w:ind w:left="360"/>
        <w:jc w:val="both"/>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Nuestra casa de estudios tiene como misión atender las necesidades de educación media superior y superior en Jalisco. Se conforma por una comunidad líder, diversa y creativa que piensa y trabaja para coadyuvar en el desarrollo sostenible. Se apoya en las ciencias y las humanidades para confirmar su valor público a través de la formación integral y pertinente de sus estudiantes, la innovación, la investigación y transferencia tecnológica, la vinculación, la extensión y la difusión de la cultura, mientras asegura una adecuada gobernanza, transparencia y rendición de cuentas a la sociedad.</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 Universidad de Guadalajara asume como visión para el año 2030 ser un referente global por su alta calidad y compromiso con la sociedad, garante, flexible e innovadora de la formación científica y profesional. Es un actor clave en la configuración de la agenda pública local y nacional. Constituye el bastión para la consecución de propósitos educativos, profesionales y humanos a lo largo de la vida, así como para resolver en comunidad los desafíos del desarrollo sostenible.</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El Plan de Desarrollo Institucional 2019-2025, Visión 2030, (PDI) de la Universidad de Guadalajara, es la guía para valorar, ajustar y, de ser necesario, modificar las acciones universitarias que tengan como prioridad el éxito de sus estudiantes. Y lo hace a través de cuatro propósitos sustantivos: 1) Docencia e innovación académica; 2) Investigación y transferencia tecnológica y del conocimiento; 3) Extensión y responsabilidad social, y 4) Difusión de la cultura</w:t>
      </w:r>
      <w:r w:rsidRPr="001E2936">
        <w:rPr>
          <w:rFonts w:ascii="AvantGarde Bk BT" w:eastAsia="Arial" w:hAnsi="AvantGarde Bk BT" w:cs="Arial"/>
          <w:color w:val="000000"/>
          <w:sz w:val="20"/>
          <w:szCs w:val="20"/>
          <w:vertAlign w:val="superscript"/>
        </w:rPr>
        <w:footnoteReference w:id="1"/>
      </w:r>
      <w:r w:rsidRPr="001E2936">
        <w:rPr>
          <w:rFonts w:ascii="AvantGarde Bk BT" w:eastAsia="Arial" w:hAnsi="AvantGarde Bk BT" w:cs="Arial"/>
          <w:color w:val="000000"/>
          <w:sz w:val="20"/>
          <w:szCs w:val="20"/>
        </w:rPr>
        <w:t>.</w:t>
      </w:r>
    </w:p>
    <w:p w:rsidR="00647AD9" w:rsidRPr="001E2936" w:rsidRDefault="00647AD9">
      <w:pPr>
        <w:widowControl/>
        <w:suppressAutoHyphens w:val="0"/>
        <w:spacing w:after="160" w:line="259" w:lineRule="auto"/>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br w:type="page"/>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AE24A2" w:rsidRPr="001E2936" w:rsidRDefault="00AE24A2" w:rsidP="00647AD9">
      <w:pPr>
        <w:pBdr>
          <w:top w:val="nil"/>
          <w:left w:val="nil"/>
          <w:bottom w:val="nil"/>
          <w:right w:val="nil"/>
          <w:between w:val="nil"/>
        </w:pBdr>
        <w:ind w:left="720"/>
        <w:rPr>
          <w:rFonts w:ascii="AvantGarde Bk BT" w:eastAsia="Arial" w:hAnsi="AvantGarde Bk BT" w:cs="Arial"/>
          <w:color w:val="000000"/>
          <w:sz w:val="20"/>
          <w:szCs w:val="20"/>
        </w:rPr>
      </w:pPr>
    </w:p>
    <w:p w:rsidR="00AE24A2" w:rsidRPr="001E2936" w:rsidRDefault="00AE24A2" w:rsidP="00647AD9">
      <w:pPr>
        <w:pBdr>
          <w:top w:val="nil"/>
          <w:left w:val="nil"/>
          <w:bottom w:val="nil"/>
          <w:right w:val="nil"/>
          <w:between w:val="nil"/>
        </w:pBdr>
        <w:ind w:left="720"/>
        <w:rPr>
          <w:rFonts w:ascii="AvantGarde Bk BT" w:eastAsia="Arial" w:hAnsi="AvantGarde Bk BT" w:cs="Arial"/>
          <w:color w:val="000000"/>
          <w:sz w:val="20"/>
          <w:szCs w:val="20"/>
        </w:rPr>
      </w:pPr>
    </w:p>
    <w:p w:rsidR="00AE24A2" w:rsidRPr="001E2936" w:rsidRDefault="00AE24A2"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El propósito sustantivo 1), del PDI, Docencia e innovación académica, comprende las acciones de: a) formación integral y global, b) cobertura incluyente y con calidad, y c) innovación y gestión de la docencia. El propósito 2) de Investigación y transferencia tecnológica y del conocimiento, comprende: a) investigación de frontera con impacto social, b) transferencia tecnológica y del conocimiento, y c) formación e incorporación de talentos para la investigación. El propósito 3), de Extensión y responsabilidad social, abarca: a) desarrollo sostenible y transición energética; b) extensión de los servicios universitarios, y c) integración con los sectores público, social y privado. Y el propósito 4), de Difusión de la cultura, se desglosa en: a) producción y difusión artística; b) patrimonio cultural e infraestructura física, y c) cultura institucional</w:t>
      </w:r>
      <w:r w:rsidRPr="001E2936">
        <w:rPr>
          <w:rFonts w:ascii="AvantGarde Bk BT" w:eastAsia="Arial" w:hAnsi="AvantGarde Bk BT" w:cs="Arial"/>
          <w:color w:val="000000"/>
          <w:sz w:val="20"/>
          <w:szCs w:val="20"/>
          <w:vertAlign w:val="superscript"/>
        </w:rPr>
        <w:footnoteReference w:id="2"/>
      </w:r>
      <w:r w:rsidRPr="001E2936">
        <w:rPr>
          <w:rFonts w:ascii="AvantGarde Bk BT" w:eastAsia="Arial" w:hAnsi="AvantGarde Bk BT" w:cs="Arial"/>
          <w:color w:val="000000"/>
          <w:sz w:val="20"/>
          <w:szCs w:val="20"/>
        </w:rPr>
        <w:t>.</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De acuerdo con el modelo educativo siglo XXI, formulado por un grupo de académicos de la Universidad de Guadalajara, a iniciativa de las autoridades de nuestra institución, y publicado en el año 2005, la educación superior universitaria debe diseñarse, organizarse y llevarse desde la perspectiva del estudiante y procurando que nuestros egresados y egresadas alcancen el éxito en todos los sentidos: humano, personal, social, económico, profesional y técnico.</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Entre los componentes del mencionado modelo educativo siglo XXI se encuentran los siguientes:</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1"/>
          <w:numId w:val="16"/>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La Universidad de Guadalajara ofrece crear las mejores condiciones para desarrollar ambientes de aprendizaje y de encuentro con la cultura. </w:t>
      </w:r>
    </w:p>
    <w:p w:rsidR="00647AD9" w:rsidRPr="001E2936" w:rsidRDefault="00647AD9" w:rsidP="00647AD9">
      <w:pPr>
        <w:widowControl/>
        <w:numPr>
          <w:ilvl w:val="1"/>
          <w:numId w:val="16"/>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Por su propia naturaleza, la Universidad es proactiva y se plantea de manera constante la búsqueda de la innovación. </w:t>
      </w:r>
    </w:p>
    <w:p w:rsidR="00647AD9" w:rsidRPr="001E2936" w:rsidRDefault="00647AD9" w:rsidP="00647AD9">
      <w:pPr>
        <w:widowControl/>
        <w:numPr>
          <w:ilvl w:val="1"/>
          <w:numId w:val="16"/>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La Universidad no es indiferente a los cambios, y mantiene la disposición para realizarlos en su interior. </w:t>
      </w:r>
    </w:p>
    <w:p w:rsidR="00647AD9" w:rsidRPr="001E2936" w:rsidRDefault="00647AD9" w:rsidP="00647AD9">
      <w:pPr>
        <w:widowControl/>
        <w:numPr>
          <w:ilvl w:val="1"/>
          <w:numId w:val="16"/>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 Universidad no se considera a sí misma fuera de la sociedad; impulsa el respeto, la solidaridad, la promoción de la paz y la justicia, así como la formación de una ciudadanía planetaria.</w:t>
      </w:r>
    </w:p>
    <w:p w:rsidR="00647AD9" w:rsidRPr="001E2936" w:rsidRDefault="00647AD9" w:rsidP="00647AD9">
      <w:pPr>
        <w:widowControl/>
        <w:numPr>
          <w:ilvl w:val="1"/>
          <w:numId w:val="16"/>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El modelo educativo universitario posee una visión flexible que ayude en la articulación de realidades y aprendizajes necesarios para la vida individual y colectiva de una sociedad cuya dinámica es compleja y de temporalidades dispares.</w:t>
      </w:r>
    </w:p>
    <w:p w:rsidR="00647AD9" w:rsidRPr="001E2936" w:rsidRDefault="00647AD9" w:rsidP="00647AD9">
      <w:pPr>
        <w:widowControl/>
        <w:numPr>
          <w:ilvl w:val="1"/>
          <w:numId w:val="16"/>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La universidad asume la multiculturalidad y heterogeneidad de las expresiones sociales, en los niveles local, regional, nacional y global. </w:t>
      </w:r>
    </w:p>
    <w:p w:rsidR="00647AD9" w:rsidRPr="001E2936" w:rsidRDefault="00647AD9" w:rsidP="00647AD9">
      <w:pPr>
        <w:widowControl/>
        <w:numPr>
          <w:ilvl w:val="1"/>
          <w:numId w:val="16"/>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El conocimiento y reconocimiento de la multiculturalidad es necesario, pues contribuye a la consolidación de la vida ciudadana, porque es un factor que democratiza y humaniza estructuras y relaciones en comunidad, y propicia el entendimiento entre los pueblos.</w:t>
      </w:r>
    </w:p>
    <w:p w:rsidR="00AE24A2" w:rsidRPr="001E2936" w:rsidRDefault="00AE24A2">
      <w:pPr>
        <w:widowControl/>
        <w:suppressAutoHyphens w:val="0"/>
        <w:spacing w:after="160" w:line="259" w:lineRule="auto"/>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br w:type="page"/>
      </w:r>
    </w:p>
    <w:p w:rsidR="00647AD9" w:rsidRPr="001E2936" w:rsidRDefault="00647AD9" w:rsidP="00647AD9">
      <w:pPr>
        <w:pBdr>
          <w:top w:val="nil"/>
          <w:left w:val="nil"/>
          <w:bottom w:val="nil"/>
          <w:right w:val="nil"/>
          <w:between w:val="nil"/>
        </w:pBdr>
        <w:ind w:left="360"/>
        <w:jc w:val="both"/>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En el año 2015, la Organización de las Naciones Unidas (ONU) aprobó, por unanimidad, la Agenda de Objetivos de Desarrollo Sostenible (ODS) como “un llamamiento universal a la acción para poner fin a la pobreza, proteger el planeta y mejorar las vidas y las perspectivas de las personas en todo el mundo”</w:t>
      </w:r>
      <w:r w:rsidRPr="001E2936">
        <w:rPr>
          <w:rFonts w:ascii="AvantGarde Bk BT" w:eastAsia="Arial" w:hAnsi="AvantGarde Bk BT" w:cs="Arial"/>
          <w:color w:val="000000"/>
          <w:sz w:val="20"/>
          <w:szCs w:val="20"/>
          <w:vertAlign w:val="superscript"/>
        </w:rPr>
        <w:footnoteReference w:id="3"/>
      </w:r>
      <w:r w:rsidRPr="001E2936">
        <w:rPr>
          <w:rFonts w:ascii="AvantGarde Bk BT" w:eastAsia="Arial" w:hAnsi="AvantGarde Bk BT" w:cs="Arial"/>
          <w:color w:val="000000"/>
          <w:sz w:val="20"/>
          <w:szCs w:val="20"/>
        </w:rPr>
        <w:t>, en los ámbitos de educación, bienestar, igualdad, ciudades sostenibles, innovación, consumo responsable, igualdad de género, cuidado de ecosistemas y medio ambiente, entre otros problemas de importancia crucial para la humanidad, cuyo estudio, consideración racional y atención ética y política resulta fundamental para la estructura de la educación superior universitaria contemporánea.</w:t>
      </w:r>
    </w:p>
    <w:p w:rsidR="00647AD9" w:rsidRPr="001E2936" w:rsidRDefault="00647AD9" w:rsidP="00647AD9">
      <w:pPr>
        <w:pBdr>
          <w:top w:val="nil"/>
          <w:left w:val="nil"/>
          <w:bottom w:val="nil"/>
          <w:right w:val="nil"/>
          <w:between w:val="nil"/>
        </w:pBdr>
        <w:ind w:left="720"/>
        <w:jc w:val="both"/>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Los Objetivos de Desarrollo Sostenible de la ONU</w:t>
      </w:r>
      <w:r w:rsidRPr="001E2936">
        <w:rPr>
          <w:rFonts w:ascii="AvantGarde Bk BT" w:eastAsia="Arial" w:hAnsi="AvantGarde Bk BT" w:cs="Arial"/>
          <w:color w:val="000000"/>
          <w:sz w:val="20"/>
          <w:szCs w:val="20"/>
          <w:vertAlign w:val="superscript"/>
        </w:rPr>
        <w:footnoteReference w:id="4"/>
      </w:r>
      <w:r w:rsidRPr="001E2936">
        <w:rPr>
          <w:rFonts w:ascii="AvantGarde Bk BT" w:eastAsia="Arial" w:hAnsi="AvantGarde Bk BT" w:cs="Arial"/>
          <w:color w:val="000000"/>
          <w:sz w:val="20"/>
          <w:szCs w:val="20"/>
        </w:rPr>
        <w:t xml:space="preserve"> son los siguientes:</w:t>
      </w:r>
    </w:p>
    <w:p w:rsidR="00647AD9" w:rsidRPr="001E2936" w:rsidRDefault="00647AD9" w:rsidP="00647AD9">
      <w:pPr>
        <w:pBdr>
          <w:top w:val="nil"/>
          <w:left w:val="nil"/>
          <w:bottom w:val="nil"/>
          <w:right w:val="nil"/>
          <w:between w:val="nil"/>
        </w:pBdr>
        <w:ind w:left="720"/>
        <w:jc w:val="both"/>
        <w:rPr>
          <w:rFonts w:ascii="AvantGarde Bk BT" w:eastAsia="Arial" w:hAnsi="AvantGarde Bk BT" w:cs="Arial"/>
          <w:color w:val="000000"/>
          <w:sz w:val="20"/>
          <w:szCs w:val="20"/>
        </w:rPr>
      </w:pP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Poner fin a la pobreza en todas sus formas en todo el mundo.</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Poner fin al hambre, lograr la seguridad alimentaria y la mejora de la nutrición y promover la agricultura sostenible.</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Garantizar una vida sana y promover el bienestar para todos en todas las edades.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Garantizar una educación inclusiva, equitativa y de calidad y promover oportunidades de aprendizaje durante toda la vida para todos.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Lograr la igualdad entre los géneros y el empoderamiento de todas las mujeres y niñas.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Garantizar la disponibilidad de agua y su ordenación sostenible y el saneamiento para todos.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Garantizar el acceso a una energía asequible, segura, sostenible y moderna para todos.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Promover el crecimiento económico sostenido, inclusivo y sostenible, el empleo pleno y productivo y el trabajo decente para todos.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Construir infraestructura resiliente, promover la industrialización inclusiva y sostenible y fomentar la innovación.</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Reducir la desigualdad en y entre los países.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Lograr que las ciudades y los asentamientos humanos sean inclusivos, seguros, resilientes y sostenibles.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Garantizar modalidades de consumo y producción sostenibles.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Adoptar medidas urgentes para combatir el cambio climático y sus efectos (tomando nota de los acuerdos celebrados en el foro de la Convención Marco de las Naciones Unidas sobre el Cambio Climático).</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Conservar y utilizar en forma sostenible los océanos, los mares y los recursos marinos para el desarrollo sostenible.</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Proteger, restablecer y promover el uso sostenible de los ecosistemas terrestres, efectuar una ordenación sostenible de los bosques, luchar contra la desertificación, detener y revertir la degradación de las tierras y poner freno a la pérdida de la diversidad biológica.</w:t>
      </w:r>
    </w:p>
    <w:p w:rsidR="00AE24A2" w:rsidRPr="001E2936" w:rsidRDefault="00AE24A2" w:rsidP="00AE24A2">
      <w:pPr>
        <w:widowControl/>
        <w:pBdr>
          <w:top w:val="nil"/>
          <w:left w:val="nil"/>
          <w:bottom w:val="nil"/>
          <w:right w:val="nil"/>
          <w:between w:val="nil"/>
        </w:pBdr>
        <w:tabs>
          <w:tab w:val="left" w:pos="709"/>
        </w:tabs>
        <w:suppressAutoHyphens w:val="0"/>
        <w:jc w:val="both"/>
        <w:rPr>
          <w:rFonts w:ascii="AvantGarde Bk BT" w:eastAsia="Arial" w:hAnsi="AvantGarde Bk BT" w:cs="Arial"/>
          <w:color w:val="000000"/>
          <w:sz w:val="20"/>
          <w:szCs w:val="20"/>
        </w:rPr>
      </w:pPr>
    </w:p>
    <w:p w:rsidR="00AE24A2" w:rsidRPr="001E2936" w:rsidRDefault="00AE24A2" w:rsidP="00AE24A2">
      <w:pPr>
        <w:widowControl/>
        <w:pBdr>
          <w:top w:val="nil"/>
          <w:left w:val="nil"/>
          <w:bottom w:val="nil"/>
          <w:right w:val="nil"/>
          <w:between w:val="nil"/>
        </w:pBdr>
        <w:tabs>
          <w:tab w:val="left" w:pos="709"/>
        </w:tabs>
        <w:suppressAutoHyphens w:val="0"/>
        <w:jc w:val="both"/>
        <w:rPr>
          <w:rFonts w:ascii="AvantGarde Bk BT" w:eastAsia="Arial" w:hAnsi="AvantGarde Bk BT" w:cs="Arial"/>
          <w:color w:val="000000"/>
          <w:sz w:val="20"/>
          <w:szCs w:val="20"/>
        </w:rPr>
      </w:pPr>
    </w:p>
    <w:p w:rsidR="00AE24A2" w:rsidRPr="001E2936" w:rsidRDefault="00AE24A2" w:rsidP="00AE24A2">
      <w:pPr>
        <w:widowControl/>
        <w:pBdr>
          <w:top w:val="nil"/>
          <w:left w:val="nil"/>
          <w:bottom w:val="nil"/>
          <w:right w:val="nil"/>
          <w:between w:val="nil"/>
        </w:pBdr>
        <w:tabs>
          <w:tab w:val="left" w:pos="709"/>
        </w:tabs>
        <w:suppressAutoHyphens w:val="0"/>
        <w:jc w:val="both"/>
        <w:rPr>
          <w:rFonts w:ascii="AvantGarde Bk BT" w:eastAsia="Arial" w:hAnsi="AvantGarde Bk BT" w:cs="Arial"/>
          <w:color w:val="000000"/>
          <w:sz w:val="20"/>
          <w:szCs w:val="20"/>
        </w:rPr>
      </w:pPr>
    </w:p>
    <w:p w:rsidR="00AE24A2" w:rsidRPr="001E2936" w:rsidRDefault="00AE24A2" w:rsidP="00AE24A2">
      <w:pPr>
        <w:widowControl/>
        <w:pBdr>
          <w:top w:val="nil"/>
          <w:left w:val="nil"/>
          <w:bottom w:val="nil"/>
          <w:right w:val="nil"/>
          <w:between w:val="nil"/>
        </w:pBdr>
        <w:tabs>
          <w:tab w:val="left" w:pos="709"/>
        </w:tabs>
        <w:suppressAutoHyphens w:val="0"/>
        <w:jc w:val="both"/>
        <w:rPr>
          <w:rFonts w:ascii="AvantGarde Bk BT" w:eastAsia="Arial" w:hAnsi="AvantGarde Bk BT" w:cs="Arial"/>
          <w:color w:val="000000"/>
          <w:sz w:val="20"/>
          <w:szCs w:val="20"/>
        </w:rPr>
      </w:pP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Promover sociedades pacíficas e inclusivas para el desarrollo sostenible, facilitar el acceso a la justicia para todos y crear instituciones eficaces, responsables e inclusivas a todos los niveles.</w:t>
      </w:r>
    </w:p>
    <w:p w:rsidR="00647AD9" w:rsidRPr="001E2936" w:rsidRDefault="00647AD9" w:rsidP="00647AD9">
      <w:pPr>
        <w:widowControl/>
        <w:numPr>
          <w:ilvl w:val="0"/>
          <w:numId w:val="14"/>
        </w:numPr>
        <w:pBdr>
          <w:top w:val="nil"/>
          <w:left w:val="nil"/>
          <w:bottom w:val="nil"/>
          <w:right w:val="nil"/>
          <w:between w:val="nil"/>
        </w:pBdr>
        <w:tabs>
          <w:tab w:val="left" w:pos="709"/>
        </w:tabs>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Fortalecer los medios de ejecución y revitalizar la alianza mundial para el desarrollo sostenible.</w:t>
      </w:r>
    </w:p>
    <w:p w:rsidR="00647AD9" w:rsidRPr="001E2936" w:rsidRDefault="00647AD9" w:rsidP="00647AD9">
      <w:pPr>
        <w:pBdr>
          <w:top w:val="nil"/>
          <w:left w:val="nil"/>
          <w:bottom w:val="nil"/>
          <w:right w:val="nil"/>
          <w:between w:val="nil"/>
        </w:pBdr>
        <w:ind w:left="1416"/>
        <w:jc w:val="both"/>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Los ODS responden a la existencia de un cúmulo de problemas, retos y desafíos urgentes que enfrenta el mundo contemporáneo, y cuya importancia global justifica que sean considerados como parte de los planes de estudios de la educación superior contemporánea. De esta manera, no es concebible una educación universitaria de calidad y con pertinencia pública, social y humana, si no contribuye a la formación, en las y los egresados de la Universidad de Guadalajara, de una conciencia de los problemas globales en su conexión dialéctica y que explique su presencia en nuestro país y en todo el orbe. Dicha conciencia es un componente clave para la formación de una ciudadanía ética y con perspectiva global.</w:t>
      </w:r>
    </w:p>
    <w:p w:rsidR="00647AD9" w:rsidRPr="001E2936" w:rsidRDefault="00647AD9" w:rsidP="00647AD9">
      <w:pPr>
        <w:pBdr>
          <w:top w:val="nil"/>
          <w:left w:val="nil"/>
          <w:bottom w:val="nil"/>
          <w:right w:val="nil"/>
          <w:between w:val="nil"/>
        </w:pBdr>
        <w:ind w:left="360"/>
        <w:jc w:val="both"/>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Dotar de conciencia cívica, social, ética y política a nuestros estudiantes implica no solo procurar que se formen en el conocimiento de los problemas que enfrenta la sociedad mexicana, sino que, además, resulta menester que adquieran conocimientos básicos sobre los problemas sociales y ambientales, las tendencias históricas, los procesos políticos, los desarreglos económicos y los desafíos cívicos, de libertad, justicia y democracia, que están en la base de los riesgos, las oportunidades y las posibilidades de carácter global y mundial.</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De acuerdo con la Organización de las Naciones Unidas, el conocimiento y la atención de las problemáticas mundiales constituye un elemento clave en la formación de una ciudadanía global, consistente en la educación de seres humanos y comunidades dotadas con la competencia para el ejercicio del pensamiento global, la solidaridad internacional, el reconocimiento de la diversidad multicultural, la defensa de la dignidad humana y el sentido de responsabilidad en los ámbitos social, político, económico y ambiental.</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Las transformaciones, retos, posibilidades y desafíos de las sociedades contemporáneas, solo pueden comprenderse en su significación, explicarse causalmente e interpretarse críticamente, desde perspectivas teóricas avanzadas, conocimientos empíricos rigurosos y abordajes éticos pertinentes, que permitan dar cuenta de aquéllas en su complejidad estructural y su carácter histórico particular. Ello incluye considerar en los contenidos educativos universitarios, entre otros aspectos, el vertiginoso ritmo del cambio social actual, las implicaciones de la apertura de los países a las dinámicas globales, así como las tendencias a la inestabilidad, el conflicto y la pérdida del control de la vida social, y a la erosión de la sustentabilidad de los procesos ambientales y de la vida en el planeta. Y, como corolario, las repercusiones de todo lo anterior en la vida emocional de los individuos y las consecuencias en la vida de las comunidades desde el punto de vista de valores amenazados como la justicia, la libertad, la igualdad, la democracia y la dignidad. </w:t>
      </w:r>
    </w:p>
    <w:p w:rsidR="00AE24A2" w:rsidRPr="001E2936" w:rsidRDefault="00AE24A2">
      <w:pPr>
        <w:widowControl/>
        <w:suppressAutoHyphens w:val="0"/>
        <w:spacing w:after="160" w:line="259" w:lineRule="auto"/>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br w:type="page"/>
      </w:r>
    </w:p>
    <w:p w:rsidR="00647AD9" w:rsidRPr="001E2936" w:rsidRDefault="00647AD9" w:rsidP="00647AD9">
      <w:pPr>
        <w:pBdr>
          <w:top w:val="nil"/>
          <w:left w:val="nil"/>
          <w:bottom w:val="nil"/>
          <w:right w:val="nil"/>
          <w:between w:val="nil"/>
        </w:pBdr>
        <w:ind w:left="720"/>
        <w:jc w:val="both"/>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Las dinámicas de transformación, cambio, conflicto y derivas que resultan en la pérdida del control de la vida social y la sustentabilidad ambiental, y la provocación de repercusiones en los individuos y las comunidades, solo pueden entenderse con posibilidades de comprensión plena si se cultiva y utiliza la imaginación sociológica entendida como la capacidad mental de poner en relación los procesos que ocurren en la vida de las personas y los grupos sociales, con el cambio que presentan las estructuras sociales en el marco amplio de los desarrollos históricos propios de las sociedades locales, nacionales y globales.</w:t>
      </w:r>
      <w:r w:rsidRPr="001E2936">
        <w:rPr>
          <w:rFonts w:ascii="AvantGarde Bk BT" w:hAnsi="AvantGarde Bk BT"/>
          <w:sz w:val="20"/>
          <w:szCs w:val="20"/>
        </w:rPr>
        <w:t xml:space="preserve"> </w:t>
      </w:r>
    </w:p>
    <w:p w:rsidR="00647AD9" w:rsidRPr="001E2936" w:rsidRDefault="00647AD9" w:rsidP="00647AD9">
      <w:pPr>
        <w:pStyle w:val="Prrafodelista"/>
        <w:rPr>
          <w:rFonts w:ascii="AvantGarde Bk BT" w:eastAsia="Arial" w:hAnsi="AvantGarde Bk BT" w:cs="Arial"/>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A la imaginación sociológica requerida en el siglo veintiuno es necesario agregar la visión nueva y comprehensiva que actualmente concibe a la sociedad humana como parte integrante del ecosistema planetario que se conoce como sistema socio-ecológico, pues la vida se basa en un solo sistema planetario, un ecosistema mayor llamada biosfera, con el que se interrelacionan las otras capas del planeta que aportan recursos, pero que comparten la misma fuente de energía. Cabe señalar que esta visión que integra a las sociedades humanas a la naturaleza, ha sido adoptada por muchas naciones y, en nuestro país, por el Consejo Nacional de</w:t>
      </w:r>
      <w:r w:rsidR="006A66F7" w:rsidRPr="001E2936">
        <w:rPr>
          <w:rFonts w:ascii="AvantGarde Bk BT" w:eastAsia="Arial" w:hAnsi="AvantGarde Bk BT" w:cs="Arial"/>
          <w:color w:val="000000"/>
          <w:sz w:val="20"/>
          <w:szCs w:val="20"/>
        </w:rPr>
        <w:t xml:space="preserve"> Humanidades</w:t>
      </w:r>
      <w:r w:rsidRPr="001E2936">
        <w:rPr>
          <w:rFonts w:ascii="AvantGarde Bk BT" w:eastAsia="Arial" w:hAnsi="AvantGarde Bk BT" w:cs="Arial"/>
          <w:color w:val="000000"/>
          <w:sz w:val="20"/>
          <w:szCs w:val="20"/>
        </w:rPr>
        <w:t xml:space="preserve"> Ciencia y Tecnología.</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Cada vez más, los problemas locales están determinados por dinámicas globales. Y viceversa, lo que ocurre en los planos micro sociales, locales y nacionales, condiciona la irrupción de transformaciones de carácter global, de manera que, para comprender explicativa y críticamente los problemas cruciales del presente de las sociedades, es necesario entender la interconexión de ida y vuelta entre las partes y el todo, asequibles mediante diagnósticos de aspectos que se presentan localmente y acerca de la aparición de tendencias y procesos que operan a escala internacional y mundial, es decir, global. </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 Los problemas globales no solo tienen este rasgo por su escala de complejidad mundial y ambiental, sino porque son el resultado de la acción de factores que proceden de una multiplicidad y heterogeneidad de factores, tales como lo biológico, lo social, lo político, lo económico, lo cultural, lo simbólico, así como lo propio de la ética y de los ámbitos psicológico y emocional. De manera que los problemas globales tienen una complejidad emergente cuya comprensión que constituye todo un reto epistemológico, científico, ético, cívico-político, sociológico y pedagógico.</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La especialización técnica, profesional y administrativa propiciada por la </w:t>
      </w:r>
      <w:r w:rsidRPr="001E2936">
        <w:rPr>
          <w:rFonts w:ascii="AvantGarde Bk BT" w:eastAsia="Arial" w:hAnsi="AvantGarde Bk BT" w:cs="Arial"/>
          <w:color w:val="000000" w:themeColor="text1"/>
          <w:sz w:val="20"/>
          <w:szCs w:val="20"/>
        </w:rPr>
        <w:t xml:space="preserve">complejidad </w:t>
      </w:r>
      <w:r w:rsidRPr="001E2936">
        <w:rPr>
          <w:rFonts w:ascii="AvantGarde Bk BT" w:eastAsia="Arial" w:hAnsi="AvantGarde Bk BT" w:cs="Arial"/>
          <w:color w:val="000000"/>
          <w:sz w:val="20"/>
          <w:szCs w:val="20"/>
        </w:rPr>
        <w:t>de la vida social contemporánea, así como por la división racionalizada del trabajo y su continua transformación tecnológica, tiende a no propiciar la formación de seres humanos dotados con suficientes capacidades de comprensión integral y holística de la realidad social, y tampoco con las competencias necesarias para responder a las dificultades del presente de manera no solo profesional y técnicamente pertinente, sino también de forma éticamente significativa, es decir, con capacidad de juicio valorativo y ponderación moral responsable, así como su consiguiente toma de posición política y cívica, aspectos indispensables para dar concreción a las posibilidades de acción política transformadora que requiere el mundo contemporáneo.</w:t>
      </w:r>
    </w:p>
    <w:p w:rsidR="00AE24A2" w:rsidRPr="001E2936" w:rsidRDefault="00AE24A2">
      <w:pPr>
        <w:widowControl/>
        <w:suppressAutoHyphens w:val="0"/>
        <w:spacing w:after="160" w:line="259" w:lineRule="auto"/>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br w:type="page"/>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Como consecuencia de lo anterior, es necesario hacer un esfuerzo institucional para dotar a nuestros estudiantes con herramientas pertinentes de análisis heurístico y comprensión del sentido humano, social y filosófico de los fenómenos, para que su educación vaya más allá de lo puramente técnico y profesional, de manera que implique también el cultivo de su personalidad de una forma armoniosa y total, es decir, haciendo madurar en las y los educandos todas las virtudes y capacidades que enaltecen su condición de seres humanos plenamente desarrollados: éticas, estéticas, epistemológicas, cívicas, emocionales y las derivadas de la empatía necesaria para construir relaciones interpersonales pacíficas, armónicas y sustentadas en compromisos con los demás duraderos y responsables.</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Los problemas, riesgos y desafíos, tendencias, oportunidades y posibilidades del mundo contemporáneo exigen, para su comprensión, tratamiento e intervención, abordajes multi, inter y transdisciplinarios que superen la perspectiva de una sociedad nacional y de una determinada profesión, especialidad u oficio, de manera que puedan comprenderse en su interrelación multinacional y global. </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Las profesiones que la actualidad requiere, en toda su compleja dinámica bio-psico-social, económica, política, tecnológica y ambiental, solo pueden alcanzar un adecuado éxito, incluso aunque únicamente se considere el punto de vista técnico, si incorporan en su bagaje de competencias un nivel mínimo de comprensión de los problemas presentes en el mundo contemporáneo.</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Entre los problemas globales más pertinentes que hoy aquejan al mundo contemporáneo, y por consiguiente a México y Jalisco, están los siguientes:</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Las tensiones entre los orígenes y tiempos del planeta y los tiempos de la sociedad. </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Los desafíos de la ética contemporánea: entre la identidad del yo psico-emocional y el yo social.</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El orden mundial, la geopolítica y la dinámica conflictiva de las grandes potencias.</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 desigualdad y la pobreza.</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Las alteraciones ambientales y del sistema socio-ecológico.</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Las dificultades de la democracia y la construcción de la ciudadanía.</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 salud global.</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Las posibilidades de la innovación social.</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Las violencias y los desafíos para la construcción de la cultura de la paz.</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El humanismo y los retos de la cibernética.</w:t>
      </w:r>
    </w:p>
    <w:p w:rsidR="00647AD9" w:rsidRPr="001E2936" w:rsidRDefault="00647AD9" w:rsidP="00647AD9">
      <w:pPr>
        <w:widowControl/>
        <w:numPr>
          <w:ilvl w:val="1"/>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Los resquicios para la esperanza en la construcción de un futuro deseable y posible.</w:t>
      </w:r>
    </w:p>
    <w:p w:rsidR="00AE24A2" w:rsidRPr="001E2936" w:rsidRDefault="00AE24A2">
      <w:pPr>
        <w:widowControl/>
        <w:suppressAutoHyphens w:val="0"/>
        <w:spacing w:after="160" w:line="259" w:lineRule="auto"/>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br w:type="page"/>
      </w:r>
    </w:p>
    <w:p w:rsidR="00647AD9" w:rsidRPr="001E2936" w:rsidRDefault="00647AD9" w:rsidP="00647AD9">
      <w:pPr>
        <w:pBdr>
          <w:top w:val="nil"/>
          <w:left w:val="nil"/>
          <w:bottom w:val="nil"/>
          <w:right w:val="nil"/>
          <w:between w:val="nil"/>
        </w:pBdr>
        <w:ind w:left="144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Las tendencias educativas contemporáneas consideran indispensable que el alumnado participe de experiencias de aprendizaje auténticamente significativas que enriquezcan su visión del mundo, en el sentido más amplio de la palabra, lo cual implica promover métodos didácticos y pedagógicos que entablen relaciones colaborativas, creativas e interactivas entre las y los estudiantes y el profesor, mejorando los procesos de evaluación y retroalimentación formativas y en general la participación en el aula, y para ello es necesario planear adecuadamente, además de las sesiones en el tiempo del aula, tanto lo que ocurre antes como después de las sesiones de clase.</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il"/>
          <w:left w:val="nil"/>
          <w:bottom w:val="nil"/>
          <w:right w:val="nil"/>
          <w:between w:val="nil"/>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Actualmente, la Universidad de Guadalajara está comprometida con un proceso de implantación de esta nueva forma de educar, por lo que, para la realización del curso transversal universitario que aquí se formula, se pretende, precisamente, aplicar las modalidades de aprendizaje activo </w:t>
      </w:r>
      <w:proofErr w:type="spellStart"/>
      <w:r w:rsidRPr="001E2936">
        <w:rPr>
          <w:rFonts w:ascii="AvantGarde Bk BT" w:eastAsia="Arial" w:hAnsi="AvantGarde Bk BT" w:cs="Arial"/>
          <w:color w:val="000000"/>
          <w:sz w:val="20"/>
          <w:szCs w:val="20"/>
        </w:rPr>
        <w:t>e</w:t>
      </w:r>
      <w:proofErr w:type="spellEnd"/>
      <w:r w:rsidRPr="001E2936">
        <w:rPr>
          <w:rFonts w:ascii="AvantGarde Bk BT" w:eastAsia="Arial" w:hAnsi="AvantGarde Bk BT" w:cs="Arial"/>
          <w:color w:val="000000"/>
          <w:sz w:val="20"/>
          <w:szCs w:val="20"/>
        </w:rPr>
        <w:t xml:space="preserve"> invertido, que impulsan la construcción de experiencias educativas mediante el aprender haciendo y la combinación de estrategias tanto en línea como presenciales para la revisión e implementación de materiales interactivos y de video, ejercicios, cuestionarios, actividades, casos y tareas de resolución de problemas, entre otros elementos, con apoyo de las modernas tecnologías y su uso pedagógico para el aprendizaje.</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En nuestros días existe en el mundo una tendencia cultural a atacar la racionalidad científica ilustrada y el tratamiento objetivo de los problemas y temáticas de investigación, lo que, entre otras cosas, se explica por la desestimación de los hechos empíricos como aspecto </w:t>
      </w:r>
      <w:r w:rsidRPr="001E2936">
        <w:rPr>
          <w:rFonts w:ascii="AvantGarde Bk BT" w:eastAsia="Arial" w:hAnsi="AvantGarde Bk BT" w:cs="Arial"/>
          <w:color w:val="000000" w:themeColor="text1"/>
          <w:sz w:val="20"/>
          <w:szCs w:val="20"/>
        </w:rPr>
        <w:t>clave del contraste en las aseveraciones científicas con la realidad empírica. Es típico de esta tendencia considerar que los discursos explicativos de la realidad son relativos, situados h</w:t>
      </w:r>
      <w:r w:rsidRPr="001E2936">
        <w:rPr>
          <w:rFonts w:ascii="AvantGarde Bk BT" w:eastAsia="Arial" w:hAnsi="AvantGarde Bk BT" w:cs="Arial"/>
          <w:color w:val="000000"/>
          <w:sz w:val="20"/>
          <w:szCs w:val="20"/>
        </w:rPr>
        <w:t>istórica y contextualmente, y en última instancia subjetivos, lo que, de aceptarse en el seno de instituciones científicas como la Universidad, implicaría renunciar a las posibilidades de demarcación entre la metafísica, la ideología o el error epistemológico, por una parte, y la ciencia, por la otra.</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uppressAutoHyphens w:val="0"/>
        <w:ind w:firstLine="0"/>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El compromiso universitario con el cultivo de la racionalidad científica y la razón ilustrada, conlleva poner a las y los estudiantes en contacto con las adquisiciones más relevantes de la ciencia que les permitan comprender el mundo contemporáneo y sus problemas, de manera que, independientemente de la disciplina que estén cursando, participen del sentido de la visión científica y los valores asociados a la búsqueda cooperativa de la verdad y a la solución de los desafíos que se presentan a la humanidad en su conjunto, todo ello a través del curso transversal denominado “Análisis de problemas globales del Siglo XXI”.</w:t>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647AD9">
      <w:pPr>
        <w:jc w:val="both"/>
        <w:rPr>
          <w:rFonts w:ascii="AvantGarde Bk BT" w:eastAsia="Arial" w:hAnsi="AvantGarde Bk BT" w:cs="Arial"/>
          <w:sz w:val="20"/>
          <w:szCs w:val="20"/>
        </w:rPr>
      </w:pPr>
      <w:r w:rsidRPr="001E2936">
        <w:rPr>
          <w:rFonts w:ascii="AvantGarde Bk BT" w:eastAsia="Arial" w:hAnsi="AvantGarde Bk BT" w:cs="Arial"/>
          <w:sz w:val="20"/>
          <w:szCs w:val="20"/>
        </w:rPr>
        <w:t>En virtud de los antecedentes antes expuestos, y tomando en consideración los siguientes:</w:t>
      </w:r>
    </w:p>
    <w:p w:rsidR="00647AD9" w:rsidRPr="001E2936" w:rsidRDefault="00647AD9" w:rsidP="00647AD9">
      <w:pPr>
        <w:jc w:val="both"/>
        <w:rPr>
          <w:rFonts w:ascii="AvantGarde Bk BT" w:eastAsia="Arial" w:hAnsi="AvantGarde Bk BT" w:cs="Arial"/>
          <w:sz w:val="20"/>
          <w:szCs w:val="20"/>
        </w:rPr>
      </w:pPr>
    </w:p>
    <w:p w:rsidR="00647AD9" w:rsidRPr="001E2936" w:rsidRDefault="00647AD9" w:rsidP="001E2936">
      <w:pPr>
        <w:jc w:val="center"/>
        <w:rPr>
          <w:rFonts w:ascii="AvantGarde Bk BT" w:eastAsia="Arial" w:hAnsi="AvantGarde Bk BT" w:cs="Arial"/>
          <w:b/>
          <w:sz w:val="20"/>
          <w:szCs w:val="20"/>
        </w:rPr>
      </w:pPr>
      <w:r w:rsidRPr="001E2936">
        <w:rPr>
          <w:rFonts w:ascii="AvantGarde Bk BT" w:eastAsia="Arial" w:hAnsi="AvantGarde Bk BT" w:cs="Arial"/>
          <w:b/>
          <w:sz w:val="20"/>
          <w:szCs w:val="20"/>
        </w:rPr>
        <w:t>FUNDAMENTOS JURÍDICOS</w:t>
      </w:r>
    </w:p>
    <w:p w:rsidR="00647AD9" w:rsidRPr="001E2936" w:rsidRDefault="00647AD9" w:rsidP="001E2936">
      <w:pPr>
        <w:jc w:val="center"/>
        <w:rPr>
          <w:rFonts w:ascii="AvantGarde Bk BT" w:eastAsia="Arial" w:hAnsi="AvantGarde Bk BT" w:cs="Arial"/>
          <w:b/>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el día 15 de enero de 1994, en ejecución del decreto número 15319 del H. Congreso del Estado de Jalisco.</w:t>
      </w:r>
    </w:p>
    <w:p w:rsidR="00AE24A2" w:rsidRPr="001E2936" w:rsidRDefault="00AE24A2">
      <w:pPr>
        <w:widowControl/>
        <w:suppressAutoHyphens w:val="0"/>
        <w:spacing w:after="160" w:line="259" w:lineRule="auto"/>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br w:type="page"/>
      </w:r>
    </w:p>
    <w:p w:rsidR="00647AD9" w:rsidRPr="001E2936" w:rsidRDefault="00647AD9" w:rsidP="00647AD9">
      <w:pPr>
        <w:rPr>
          <w:rFonts w:ascii="AvantGarde Bk BT" w:eastAsia="Arial" w:hAnsi="AvantGarde Bk BT" w:cs="Arial"/>
          <w:color w:val="000000"/>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 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647AD9" w:rsidRPr="001E2936" w:rsidRDefault="00647AD9" w:rsidP="001E2936">
      <w:pPr>
        <w:jc w:val="both"/>
        <w:rPr>
          <w:rFonts w:ascii="AvantGarde Bk BT" w:eastAsia="Arial" w:hAnsi="AvantGarde Bk BT" w:cs="Arial"/>
          <w:color w:val="000000"/>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esta Casa de Estudio.</w:t>
      </w:r>
    </w:p>
    <w:p w:rsidR="00647AD9" w:rsidRPr="001E2936" w:rsidRDefault="00647AD9" w:rsidP="001E2936">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de acuerdo con el artículo 22 de su Ley Orgánica, la Universidad de Guadalajara adoptará el modelo de Red para organizar sus actividades académicas y administrativas.</w:t>
      </w:r>
    </w:p>
    <w:p w:rsidR="00647AD9" w:rsidRPr="001E2936" w:rsidRDefault="00647AD9" w:rsidP="001E2936">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conforme lo establece el artículo 31, fracción VI de la Ley Orgánica y el artículo 39, fracción I del Estatuto General, es atribución del Consejo General Universitario crear, suprimir o modificar carreras y programas de posgrado y promover iniciativas y estrategias para poner en marcha nuevas carreras y posgrados.</w:t>
      </w:r>
    </w:p>
    <w:p w:rsidR="00647AD9" w:rsidRPr="001E2936" w:rsidRDefault="00647AD9" w:rsidP="001E2936">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el H. Consejo General Universitario funciona en pleno o por comisiones, las que pueden ser permanentes o especiales, tal como lo señala el artículo 27 de la Ley Orgánica de la Universidad de Guadalajara.</w:t>
      </w:r>
    </w:p>
    <w:p w:rsidR="00647AD9" w:rsidRPr="001E2936" w:rsidRDefault="00647AD9" w:rsidP="001E2936">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es atribución de la Comisión Permanente de Educación del H.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647AD9" w:rsidRPr="001E2936" w:rsidRDefault="00647AD9" w:rsidP="001E2936">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la Comisión Permanente de Educación antes citada, tomando en cuenta las opiniones recibidas, estudiará los planes y programas presentados y emitirá el dictamen correspondiente, que deberá estar fundado y motivado, para posteriormente ponerlo en consideración del Consejo General Universitario, según lo establece el artículo 17 del Reglamento General de Planes de Estudio de esta Universidad.</w:t>
      </w:r>
    </w:p>
    <w:p w:rsidR="00647AD9" w:rsidRPr="001E2936" w:rsidRDefault="00647AD9" w:rsidP="001E2936">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1E2936">
      <w:pPr>
        <w:pStyle w:val="Apartadotema"/>
        <w:spacing w:before="0"/>
        <w:rPr>
          <w:rFonts w:ascii="AvantGarde Bk BT" w:eastAsia="Arial" w:hAnsi="AvantGarde Bk BT"/>
          <w:i w:val="0"/>
          <w:sz w:val="20"/>
          <w:szCs w:val="20"/>
        </w:rPr>
      </w:pPr>
      <w:r w:rsidRPr="001E2936">
        <w:rPr>
          <w:rFonts w:ascii="AvantGarde Bk BT" w:eastAsia="Arial" w:hAnsi="AvantGarde Bk BT"/>
          <w:i w:val="0"/>
          <w:sz w:val="20"/>
          <w:szCs w:val="20"/>
        </w:rPr>
        <w:t>Que de conformidad al artículo 86, fracción IV del Estatuto General, es atribución de la Comisión Permanente de Hacienda del Consejo General Universitario proponer al pleno, el proyecto de aranceles y contribuciones de la Universidad de Guadalajara.</w:t>
      </w:r>
    </w:p>
    <w:p w:rsidR="00AE24A2" w:rsidRPr="001E2936" w:rsidRDefault="00AE24A2">
      <w:pPr>
        <w:widowControl/>
        <w:suppressAutoHyphens w:val="0"/>
        <w:spacing w:after="160" w:line="259" w:lineRule="auto"/>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br w:type="page"/>
      </w:r>
    </w:p>
    <w:p w:rsidR="00647AD9" w:rsidRPr="001E2936" w:rsidRDefault="00647AD9" w:rsidP="00647AD9">
      <w:pPr>
        <w:pBdr>
          <w:top w:val="nil"/>
          <w:left w:val="nil"/>
          <w:bottom w:val="nil"/>
          <w:right w:val="nil"/>
          <w:between w:val="nil"/>
        </w:pBdr>
        <w:ind w:left="720"/>
        <w:rPr>
          <w:rFonts w:ascii="AvantGarde Bk BT" w:eastAsia="Arial" w:hAnsi="AvantGarde Bk BT" w:cs="Arial"/>
          <w:color w:val="000000"/>
          <w:sz w:val="20"/>
          <w:szCs w:val="20"/>
        </w:rPr>
      </w:pPr>
    </w:p>
    <w:p w:rsidR="00647AD9" w:rsidRPr="001E2936" w:rsidRDefault="00647AD9" w:rsidP="001E2936">
      <w:pPr>
        <w:pStyle w:val="Apartadotema"/>
        <w:rPr>
          <w:rFonts w:ascii="AvantGarde Bk BT" w:eastAsia="Arial" w:hAnsi="AvantGarde Bk BT"/>
          <w:i w:val="0"/>
          <w:sz w:val="20"/>
          <w:szCs w:val="20"/>
        </w:rPr>
      </w:pPr>
      <w:r w:rsidRPr="001E2936">
        <w:rPr>
          <w:rFonts w:ascii="AvantGarde Bk BT" w:eastAsia="Arial" w:hAnsi="AvantGarde Bk BT"/>
          <w:i w:val="0"/>
          <w:sz w:val="20"/>
          <w:szCs w:val="20"/>
        </w:rPr>
        <w:t xml:space="preserve">Que son atribuciones y funciones de la Rectoría General de la Universidad de Guadalajara, proponer ante el Consejo General Universitario, las políticas y estrategias para el cumplimiento y desarrollo de las funciones sustantivas de la Universidad, así como proponer proyectos para la creación, modificación o supresión de planes y programas académicos, en términos de lo establecido en las fracciones I y IV del artículo 95 del Estatuto General. </w:t>
      </w:r>
    </w:p>
    <w:p w:rsidR="00647AD9" w:rsidRPr="001E2936" w:rsidRDefault="00647AD9" w:rsidP="00647AD9">
      <w:pPr>
        <w:jc w:val="both"/>
        <w:rPr>
          <w:rFonts w:ascii="AvantGarde Bk BT" w:eastAsia="Arial" w:hAnsi="AvantGarde Bk BT" w:cs="Arial"/>
          <w:color w:val="000000"/>
          <w:sz w:val="20"/>
          <w:szCs w:val="20"/>
        </w:rPr>
      </w:pPr>
    </w:p>
    <w:p w:rsidR="00647AD9" w:rsidRPr="001E2936" w:rsidRDefault="00647AD9" w:rsidP="00647AD9">
      <w:pPr>
        <w:jc w:val="both"/>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Por lo antes expuesto y fundado, estas Comisiones Permanentes de Educación y de Hacienda tienen a bien proponer al pleno del H. Consejo General Universitario los siguientes:</w:t>
      </w:r>
    </w:p>
    <w:p w:rsidR="00647AD9" w:rsidRPr="001E2936" w:rsidRDefault="00647AD9" w:rsidP="00647AD9">
      <w:pPr>
        <w:jc w:val="both"/>
        <w:rPr>
          <w:rFonts w:ascii="AvantGarde Bk BT" w:eastAsia="Arial" w:hAnsi="AvantGarde Bk BT" w:cs="Arial"/>
          <w:color w:val="000000"/>
          <w:sz w:val="20"/>
          <w:szCs w:val="20"/>
        </w:rPr>
      </w:pPr>
    </w:p>
    <w:p w:rsidR="00647AD9" w:rsidRPr="001E2936" w:rsidRDefault="00647AD9" w:rsidP="00647AD9">
      <w:pPr>
        <w:jc w:val="center"/>
        <w:rPr>
          <w:rFonts w:ascii="AvantGarde Bk BT" w:eastAsia="Arial" w:hAnsi="AvantGarde Bk BT" w:cs="Arial"/>
          <w:b/>
          <w:color w:val="000000"/>
          <w:sz w:val="20"/>
          <w:szCs w:val="20"/>
        </w:rPr>
      </w:pPr>
      <w:r w:rsidRPr="001E2936">
        <w:rPr>
          <w:rFonts w:ascii="AvantGarde Bk BT" w:eastAsia="Arial" w:hAnsi="AvantGarde Bk BT" w:cs="Arial"/>
          <w:b/>
          <w:color w:val="000000"/>
          <w:sz w:val="20"/>
          <w:szCs w:val="20"/>
        </w:rPr>
        <w:t>RESOLUTIVOS</w:t>
      </w:r>
    </w:p>
    <w:p w:rsidR="00647AD9" w:rsidRPr="001E2936" w:rsidRDefault="00647AD9" w:rsidP="00647AD9">
      <w:pPr>
        <w:jc w:val="both"/>
        <w:rPr>
          <w:rFonts w:ascii="AvantGarde Bk BT" w:eastAsia="Arial" w:hAnsi="AvantGarde Bk BT" w:cs="Arial"/>
          <w:color w:val="000000"/>
          <w:sz w:val="20"/>
          <w:szCs w:val="20"/>
        </w:rPr>
      </w:pPr>
    </w:p>
    <w:p w:rsidR="00647AD9" w:rsidRPr="001E2936" w:rsidRDefault="00647AD9" w:rsidP="00647AD9">
      <w:pPr>
        <w:jc w:val="both"/>
        <w:rPr>
          <w:rFonts w:ascii="AvantGarde Bk BT" w:eastAsia="Arial" w:hAnsi="AvantGarde Bk BT" w:cs="Arial"/>
          <w:color w:val="000000" w:themeColor="text1"/>
          <w:sz w:val="20"/>
          <w:szCs w:val="20"/>
        </w:rPr>
      </w:pPr>
      <w:r w:rsidRPr="001E2936">
        <w:rPr>
          <w:rFonts w:ascii="AvantGarde Bk BT" w:eastAsia="Arial" w:hAnsi="AvantGarde Bk BT" w:cs="Arial"/>
          <w:b/>
          <w:color w:val="000000" w:themeColor="text1"/>
          <w:sz w:val="20"/>
          <w:szCs w:val="20"/>
        </w:rPr>
        <w:t>PRIMERO</w:t>
      </w:r>
      <w:r w:rsidRPr="001E2936">
        <w:rPr>
          <w:rFonts w:ascii="AvantGarde Bk BT" w:eastAsia="Arial" w:hAnsi="AvantGarde Bk BT" w:cs="Arial"/>
          <w:color w:val="000000" w:themeColor="text1"/>
          <w:sz w:val="20"/>
          <w:szCs w:val="20"/>
        </w:rPr>
        <w:t xml:space="preserve">. Se </w:t>
      </w:r>
      <w:r w:rsidRPr="001E2936">
        <w:rPr>
          <w:rFonts w:ascii="AvantGarde Bk BT" w:eastAsia="Arial" w:hAnsi="AvantGarde Bk BT" w:cs="Arial"/>
          <w:b/>
          <w:color w:val="000000" w:themeColor="text1"/>
          <w:sz w:val="20"/>
          <w:szCs w:val="20"/>
        </w:rPr>
        <w:t xml:space="preserve">crea </w:t>
      </w:r>
      <w:r w:rsidRPr="001E2936">
        <w:rPr>
          <w:rFonts w:ascii="AvantGarde Bk BT" w:eastAsia="Arial" w:hAnsi="AvantGarde Bk BT" w:cs="Arial"/>
          <w:color w:val="000000" w:themeColor="text1"/>
          <w:sz w:val="20"/>
          <w:szCs w:val="20"/>
        </w:rPr>
        <w:t>la Unidad de Aprendizaje</w:t>
      </w:r>
      <w:r w:rsidR="001E2936">
        <w:rPr>
          <w:rFonts w:ascii="AvantGarde Bk BT" w:eastAsia="Arial" w:hAnsi="AvantGarde Bk BT" w:cs="Arial"/>
          <w:color w:val="000000" w:themeColor="text1"/>
          <w:sz w:val="20"/>
          <w:szCs w:val="20"/>
        </w:rPr>
        <w:t xml:space="preserve"> denominada</w:t>
      </w:r>
      <w:r w:rsidRPr="001E2936">
        <w:rPr>
          <w:rFonts w:ascii="AvantGarde Bk BT" w:eastAsia="Arial" w:hAnsi="AvantGarde Bk BT" w:cs="Arial"/>
          <w:color w:val="000000" w:themeColor="text1"/>
          <w:sz w:val="20"/>
          <w:szCs w:val="20"/>
        </w:rPr>
        <w:t xml:space="preserve"> </w:t>
      </w:r>
      <w:r w:rsidRPr="001E2936">
        <w:rPr>
          <w:rFonts w:ascii="AvantGarde Bk BT" w:eastAsia="Arial" w:hAnsi="AvantGarde Bk BT" w:cs="Arial"/>
          <w:b/>
          <w:color w:val="000000" w:themeColor="text1"/>
          <w:sz w:val="20"/>
          <w:szCs w:val="20"/>
        </w:rPr>
        <w:t>“Análisis de Problemas Globales del Siglo XXI”</w:t>
      </w:r>
      <w:r w:rsidRPr="001E2936">
        <w:rPr>
          <w:rFonts w:ascii="AvantGarde Bk BT" w:eastAsia="Arial" w:hAnsi="AvantGarde Bk BT" w:cs="Arial"/>
          <w:color w:val="000000" w:themeColor="text1"/>
          <w:sz w:val="20"/>
          <w:szCs w:val="20"/>
        </w:rPr>
        <w:t xml:space="preserve">, del nivel licenciatura en todos los planes de estudio que se impartan en los </w:t>
      </w:r>
      <w:r w:rsidR="006A66F7" w:rsidRPr="001E2936">
        <w:rPr>
          <w:rFonts w:ascii="AvantGarde Bk BT" w:eastAsia="Arial" w:hAnsi="AvantGarde Bk BT" w:cs="Arial"/>
          <w:color w:val="000000" w:themeColor="text1"/>
          <w:sz w:val="20"/>
          <w:szCs w:val="20"/>
        </w:rPr>
        <w:t>Ce</w:t>
      </w:r>
      <w:r w:rsidRPr="001E2936">
        <w:rPr>
          <w:rFonts w:ascii="AvantGarde Bk BT" w:eastAsia="Arial" w:hAnsi="AvantGarde Bk BT" w:cs="Arial"/>
          <w:color w:val="000000" w:themeColor="text1"/>
          <w:sz w:val="20"/>
          <w:szCs w:val="20"/>
        </w:rPr>
        <w:t xml:space="preserve">ntros </w:t>
      </w:r>
      <w:r w:rsidR="006A66F7" w:rsidRPr="001E2936">
        <w:rPr>
          <w:rFonts w:ascii="AvantGarde Bk BT" w:eastAsia="Arial" w:hAnsi="AvantGarde Bk BT" w:cs="Arial"/>
          <w:color w:val="000000" w:themeColor="text1"/>
          <w:sz w:val="20"/>
          <w:szCs w:val="20"/>
        </w:rPr>
        <w:t>U</w:t>
      </w:r>
      <w:r w:rsidRPr="001E2936">
        <w:rPr>
          <w:rFonts w:ascii="AvantGarde Bk BT" w:eastAsia="Arial" w:hAnsi="AvantGarde Bk BT" w:cs="Arial"/>
          <w:color w:val="000000" w:themeColor="text1"/>
          <w:sz w:val="20"/>
          <w:szCs w:val="20"/>
        </w:rPr>
        <w:t xml:space="preserve">niversitarios, a partir del </w:t>
      </w:r>
      <w:r w:rsidR="006A66F7" w:rsidRPr="001E2936">
        <w:rPr>
          <w:rFonts w:ascii="AvantGarde Bk BT" w:eastAsia="Arial" w:hAnsi="AvantGarde Bk BT" w:cs="Arial"/>
          <w:color w:val="000000" w:themeColor="text1"/>
          <w:sz w:val="20"/>
          <w:szCs w:val="20"/>
        </w:rPr>
        <w:t>calendario</w:t>
      </w:r>
      <w:r w:rsidRPr="001E2936">
        <w:rPr>
          <w:rFonts w:ascii="AvantGarde Bk BT" w:eastAsia="Arial" w:hAnsi="AvantGarde Bk BT" w:cs="Arial"/>
          <w:color w:val="000000" w:themeColor="text1"/>
          <w:sz w:val="20"/>
          <w:szCs w:val="20"/>
        </w:rPr>
        <w:t xml:space="preserve"> escolar 202</w:t>
      </w:r>
      <w:r w:rsidR="006A66F7" w:rsidRPr="001E2936">
        <w:rPr>
          <w:rFonts w:ascii="AvantGarde Bk BT" w:eastAsia="Arial" w:hAnsi="AvantGarde Bk BT" w:cs="Arial"/>
          <w:color w:val="000000" w:themeColor="text1"/>
          <w:sz w:val="20"/>
          <w:szCs w:val="20"/>
        </w:rPr>
        <w:t>4</w:t>
      </w:r>
      <w:r w:rsidR="00832871" w:rsidRPr="001E2936">
        <w:rPr>
          <w:rFonts w:ascii="AvantGarde Bk BT" w:eastAsia="Arial" w:hAnsi="AvantGarde Bk BT" w:cs="Arial"/>
          <w:color w:val="000000" w:themeColor="text1"/>
          <w:sz w:val="20"/>
          <w:szCs w:val="20"/>
        </w:rPr>
        <w:t>-2</w:t>
      </w:r>
      <w:r w:rsidR="00A04762" w:rsidRPr="001E2936">
        <w:rPr>
          <w:rFonts w:ascii="AvantGarde Bk BT" w:eastAsia="Arial" w:hAnsi="AvantGarde Bk BT" w:cs="Arial"/>
          <w:color w:val="000000" w:themeColor="text1"/>
          <w:sz w:val="20"/>
          <w:szCs w:val="20"/>
        </w:rPr>
        <w:t>0</w:t>
      </w:r>
      <w:r w:rsidR="00832871" w:rsidRPr="001E2936">
        <w:rPr>
          <w:rFonts w:ascii="AvantGarde Bk BT" w:eastAsia="Arial" w:hAnsi="AvantGarde Bk BT" w:cs="Arial"/>
          <w:color w:val="000000" w:themeColor="text1"/>
          <w:sz w:val="20"/>
          <w:szCs w:val="20"/>
        </w:rPr>
        <w:t>25</w:t>
      </w:r>
      <w:r w:rsidRPr="001E2936">
        <w:rPr>
          <w:rFonts w:ascii="AvantGarde Bk BT" w:eastAsia="Arial" w:hAnsi="AvantGarde Bk BT" w:cs="Arial"/>
          <w:color w:val="000000" w:themeColor="text1"/>
          <w:sz w:val="20"/>
          <w:szCs w:val="20"/>
        </w:rPr>
        <w:t>, de acuerdo con lo siguiente:</w:t>
      </w:r>
    </w:p>
    <w:p w:rsidR="00647AD9" w:rsidRPr="001E2936" w:rsidRDefault="00647AD9" w:rsidP="00647AD9">
      <w:pPr>
        <w:jc w:val="both"/>
        <w:rPr>
          <w:rFonts w:ascii="AvantGarde Bk BT" w:eastAsia="Arial" w:hAnsi="AvantGarde Bk BT" w:cs="Arial"/>
          <w:color w:val="000000"/>
          <w:sz w:val="20"/>
          <w:szCs w:val="20"/>
        </w:rPr>
      </w:pPr>
    </w:p>
    <w:tbl>
      <w:tblPr>
        <w:tblW w:w="8632"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00" w:firstRow="0" w:lastRow="0" w:firstColumn="0" w:lastColumn="0" w:noHBand="0" w:noVBand="1"/>
      </w:tblPr>
      <w:tblGrid>
        <w:gridCol w:w="4805"/>
        <w:gridCol w:w="992"/>
        <w:gridCol w:w="1134"/>
        <w:gridCol w:w="1701"/>
      </w:tblGrid>
      <w:tr w:rsidR="00647AD9" w:rsidRPr="001E2936" w:rsidTr="003A69D8">
        <w:trPr>
          <w:trHeight w:val="369"/>
          <w:jc w:val="center"/>
        </w:trPr>
        <w:tc>
          <w:tcPr>
            <w:tcW w:w="4805" w:type="dxa"/>
            <w:shd w:val="clear" w:color="auto" w:fill="auto"/>
            <w:vAlign w:val="center"/>
          </w:tcPr>
          <w:p w:rsidR="00647AD9" w:rsidRPr="001E2936" w:rsidRDefault="00647AD9" w:rsidP="00647AD9">
            <w:pPr>
              <w:jc w:val="center"/>
              <w:rPr>
                <w:rFonts w:ascii="AvantGarde Bk BT" w:eastAsia="Questrial" w:hAnsi="AvantGarde Bk BT"/>
                <w:b/>
                <w:sz w:val="20"/>
                <w:szCs w:val="20"/>
              </w:rPr>
            </w:pPr>
            <w:r w:rsidRPr="001E2936">
              <w:rPr>
                <w:rFonts w:ascii="AvantGarde Bk BT" w:eastAsia="Questrial" w:hAnsi="AvantGarde Bk BT"/>
                <w:b/>
                <w:sz w:val="20"/>
                <w:szCs w:val="20"/>
              </w:rPr>
              <w:t>Unidad de Aprendizaje</w:t>
            </w:r>
          </w:p>
        </w:tc>
        <w:tc>
          <w:tcPr>
            <w:tcW w:w="992" w:type="dxa"/>
            <w:shd w:val="clear" w:color="auto" w:fill="auto"/>
            <w:vAlign w:val="center"/>
          </w:tcPr>
          <w:p w:rsidR="00647AD9" w:rsidRPr="001E2936" w:rsidRDefault="00647AD9" w:rsidP="00647AD9">
            <w:pPr>
              <w:jc w:val="center"/>
              <w:rPr>
                <w:rFonts w:ascii="AvantGarde Bk BT" w:eastAsia="Questrial" w:hAnsi="AvantGarde Bk BT"/>
                <w:b/>
                <w:sz w:val="20"/>
                <w:szCs w:val="20"/>
              </w:rPr>
            </w:pPr>
            <w:r w:rsidRPr="001E2936">
              <w:rPr>
                <w:rFonts w:ascii="AvantGarde Bk BT" w:eastAsia="Questrial" w:hAnsi="AvantGarde Bk BT"/>
                <w:b/>
                <w:sz w:val="20"/>
                <w:szCs w:val="20"/>
              </w:rPr>
              <w:t>Horas Totales</w:t>
            </w:r>
          </w:p>
        </w:tc>
        <w:tc>
          <w:tcPr>
            <w:tcW w:w="1134" w:type="dxa"/>
            <w:shd w:val="clear" w:color="auto" w:fill="auto"/>
            <w:vAlign w:val="center"/>
          </w:tcPr>
          <w:p w:rsidR="00647AD9" w:rsidRPr="001E2936" w:rsidRDefault="00647AD9" w:rsidP="00647AD9">
            <w:pPr>
              <w:jc w:val="center"/>
              <w:rPr>
                <w:rFonts w:ascii="AvantGarde Bk BT" w:eastAsia="Questrial" w:hAnsi="AvantGarde Bk BT"/>
                <w:b/>
                <w:sz w:val="20"/>
                <w:szCs w:val="20"/>
              </w:rPr>
            </w:pPr>
            <w:r w:rsidRPr="001E2936">
              <w:rPr>
                <w:rFonts w:ascii="AvantGarde Bk BT" w:eastAsia="Questrial" w:hAnsi="AvantGarde Bk BT"/>
                <w:b/>
                <w:sz w:val="20"/>
                <w:szCs w:val="20"/>
              </w:rPr>
              <w:t>Créditos</w:t>
            </w:r>
          </w:p>
        </w:tc>
        <w:tc>
          <w:tcPr>
            <w:tcW w:w="1701" w:type="dxa"/>
            <w:shd w:val="clear" w:color="auto" w:fill="auto"/>
            <w:vAlign w:val="center"/>
          </w:tcPr>
          <w:p w:rsidR="00647AD9" w:rsidRPr="001E2936" w:rsidRDefault="00647AD9" w:rsidP="00647AD9">
            <w:pPr>
              <w:jc w:val="center"/>
              <w:rPr>
                <w:rFonts w:ascii="AvantGarde Bk BT" w:eastAsia="Questrial" w:hAnsi="AvantGarde Bk BT"/>
                <w:b/>
                <w:sz w:val="20"/>
                <w:szCs w:val="20"/>
              </w:rPr>
            </w:pPr>
            <w:r w:rsidRPr="001E2936">
              <w:rPr>
                <w:rFonts w:ascii="AvantGarde Bk BT" w:eastAsia="Questrial" w:hAnsi="AvantGarde Bk BT"/>
                <w:b/>
                <w:sz w:val="20"/>
                <w:szCs w:val="20"/>
              </w:rPr>
              <w:t>Prerrequisitos</w:t>
            </w:r>
          </w:p>
        </w:tc>
      </w:tr>
      <w:tr w:rsidR="00647AD9" w:rsidRPr="001E2936" w:rsidTr="003A69D8">
        <w:trPr>
          <w:trHeight w:val="527"/>
          <w:jc w:val="center"/>
        </w:trPr>
        <w:tc>
          <w:tcPr>
            <w:tcW w:w="4805" w:type="dxa"/>
            <w:shd w:val="clear" w:color="auto" w:fill="auto"/>
            <w:vAlign w:val="center"/>
          </w:tcPr>
          <w:p w:rsidR="00647AD9" w:rsidRPr="001E2936" w:rsidRDefault="00647AD9" w:rsidP="00647AD9">
            <w:pPr>
              <w:jc w:val="center"/>
              <w:rPr>
                <w:rFonts w:ascii="AvantGarde Bk BT" w:eastAsia="Questrial" w:hAnsi="AvantGarde Bk BT"/>
                <w:sz w:val="20"/>
                <w:szCs w:val="20"/>
              </w:rPr>
            </w:pPr>
            <w:r w:rsidRPr="001E2936">
              <w:rPr>
                <w:rFonts w:ascii="AvantGarde Bk BT" w:hAnsi="AvantGarde Bk BT"/>
                <w:sz w:val="20"/>
                <w:szCs w:val="20"/>
              </w:rPr>
              <w:t>Análisis de Problemas Globales del Siglo XXI</w:t>
            </w:r>
          </w:p>
        </w:tc>
        <w:tc>
          <w:tcPr>
            <w:tcW w:w="992" w:type="dxa"/>
            <w:shd w:val="clear" w:color="auto" w:fill="auto"/>
            <w:vAlign w:val="center"/>
          </w:tcPr>
          <w:p w:rsidR="00647AD9" w:rsidRPr="001E2936" w:rsidRDefault="00647AD9" w:rsidP="00647AD9">
            <w:pPr>
              <w:jc w:val="center"/>
              <w:rPr>
                <w:rFonts w:ascii="AvantGarde Bk BT" w:eastAsia="Questrial" w:hAnsi="AvantGarde Bk BT"/>
                <w:color w:val="000000" w:themeColor="text1"/>
                <w:sz w:val="20"/>
                <w:szCs w:val="20"/>
              </w:rPr>
            </w:pPr>
            <w:r w:rsidRPr="001E2936">
              <w:rPr>
                <w:rFonts w:ascii="AvantGarde Bk BT" w:eastAsia="Questrial" w:hAnsi="AvantGarde Bk BT"/>
                <w:color w:val="000000" w:themeColor="text1"/>
                <w:sz w:val="20"/>
                <w:szCs w:val="20"/>
              </w:rPr>
              <w:t>80</w:t>
            </w:r>
          </w:p>
        </w:tc>
        <w:tc>
          <w:tcPr>
            <w:tcW w:w="1134" w:type="dxa"/>
            <w:shd w:val="clear" w:color="auto" w:fill="auto"/>
            <w:vAlign w:val="center"/>
          </w:tcPr>
          <w:p w:rsidR="00647AD9" w:rsidRPr="001E2936" w:rsidRDefault="00647AD9" w:rsidP="00647AD9">
            <w:pPr>
              <w:jc w:val="center"/>
              <w:rPr>
                <w:rFonts w:ascii="AvantGarde Bk BT" w:eastAsia="Questrial" w:hAnsi="AvantGarde Bk BT"/>
                <w:color w:val="000000" w:themeColor="text1"/>
                <w:sz w:val="20"/>
                <w:szCs w:val="20"/>
              </w:rPr>
            </w:pPr>
            <w:r w:rsidRPr="001E2936">
              <w:rPr>
                <w:rFonts w:ascii="AvantGarde Bk BT" w:eastAsia="Questrial" w:hAnsi="AvantGarde Bk BT"/>
                <w:color w:val="000000" w:themeColor="text1"/>
                <w:sz w:val="20"/>
                <w:szCs w:val="20"/>
              </w:rPr>
              <w:t xml:space="preserve">No aplica </w:t>
            </w:r>
          </w:p>
        </w:tc>
        <w:tc>
          <w:tcPr>
            <w:tcW w:w="1701" w:type="dxa"/>
            <w:shd w:val="clear" w:color="auto" w:fill="auto"/>
            <w:vAlign w:val="center"/>
          </w:tcPr>
          <w:p w:rsidR="00647AD9" w:rsidRPr="001E2936" w:rsidRDefault="00647AD9" w:rsidP="00647AD9">
            <w:pPr>
              <w:jc w:val="center"/>
              <w:rPr>
                <w:rFonts w:ascii="AvantGarde Bk BT" w:eastAsia="Questrial" w:hAnsi="AvantGarde Bk BT"/>
                <w:color w:val="000000" w:themeColor="text1"/>
                <w:sz w:val="20"/>
                <w:szCs w:val="20"/>
              </w:rPr>
            </w:pPr>
            <w:r w:rsidRPr="001E2936">
              <w:rPr>
                <w:rFonts w:ascii="AvantGarde Bk BT" w:eastAsia="Questrial" w:hAnsi="AvantGarde Bk BT"/>
                <w:color w:val="000000" w:themeColor="text1"/>
                <w:sz w:val="20"/>
                <w:szCs w:val="20"/>
              </w:rPr>
              <w:t>No Aplica</w:t>
            </w:r>
          </w:p>
        </w:tc>
      </w:tr>
    </w:tbl>
    <w:p w:rsidR="00647AD9" w:rsidRPr="001E2936" w:rsidRDefault="00647AD9" w:rsidP="00647AD9">
      <w:pPr>
        <w:jc w:val="both"/>
        <w:rPr>
          <w:rFonts w:ascii="AvantGarde Bk BT" w:eastAsia="Arial" w:hAnsi="AvantGarde Bk BT" w:cs="Arial"/>
          <w:color w:val="000000"/>
          <w:sz w:val="20"/>
          <w:szCs w:val="20"/>
        </w:rPr>
      </w:pPr>
    </w:p>
    <w:p w:rsidR="00647AD9" w:rsidRPr="001E2936" w:rsidRDefault="00647AD9" w:rsidP="00647AD9">
      <w:pPr>
        <w:jc w:val="both"/>
        <w:rPr>
          <w:rFonts w:ascii="AvantGarde Bk BT" w:eastAsia="Arial" w:hAnsi="AvantGarde Bk BT" w:cs="Arial"/>
          <w:strike/>
          <w:color w:val="000000" w:themeColor="text1"/>
          <w:sz w:val="20"/>
          <w:szCs w:val="20"/>
        </w:rPr>
      </w:pPr>
      <w:r w:rsidRPr="001E2936">
        <w:rPr>
          <w:rFonts w:ascii="AvantGarde Bk BT" w:eastAsia="Arial" w:hAnsi="AvantGarde Bk BT" w:cs="Arial"/>
          <w:b/>
          <w:color w:val="000000" w:themeColor="text1"/>
          <w:sz w:val="20"/>
          <w:szCs w:val="20"/>
        </w:rPr>
        <w:t>SEGUNDO.</w:t>
      </w:r>
      <w:r w:rsidRPr="001E2936">
        <w:rPr>
          <w:rFonts w:ascii="AvantGarde Bk BT" w:eastAsia="Arial" w:hAnsi="AvantGarde Bk BT" w:cs="Arial"/>
          <w:color w:val="000000" w:themeColor="text1"/>
          <w:sz w:val="20"/>
          <w:szCs w:val="20"/>
        </w:rPr>
        <w:t xml:space="preserve"> La Unidad de Aprendizaje será obligatoria, se cursará durante el primer ciclo escolar de cada uno de los planes de estudios del nivel licenciatura y será un requisito para el reingreso al segundo ciclo escolar.</w:t>
      </w:r>
    </w:p>
    <w:p w:rsidR="00647AD9" w:rsidRPr="001E2936" w:rsidRDefault="00647AD9" w:rsidP="00647AD9">
      <w:pPr>
        <w:jc w:val="both"/>
        <w:rPr>
          <w:rFonts w:ascii="AvantGarde Bk BT" w:eastAsia="Arial" w:hAnsi="AvantGarde Bk BT" w:cs="Arial"/>
          <w:color w:val="000000"/>
          <w:sz w:val="20"/>
          <w:szCs w:val="20"/>
        </w:rPr>
      </w:pPr>
    </w:p>
    <w:p w:rsidR="00647AD9" w:rsidRPr="001E2936" w:rsidRDefault="00647AD9" w:rsidP="00647AD9">
      <w:pPr>
        <w:jc w:val="both"/>
        <w:rPr>
          <w:rFonts w:ascii="AvantGarde Bk BT" w:eastAsia="Arial" w:hAnsi="AvantGarde Bk BT" w:cs="Arial"/>
          <w:color w:val="000000"/>
          <w:sz w:val="20"/>
          <w:szCs w:val="20"/>
        </w:rPr>
      </w:pPr>
      <w:r w:rsidRPr="001E2936">
        <w:rPr>
          <w:rFonts w:ascii="AvantGarde Bk BT" w:eastAsia="Arial" w:hAnsi="AvantGarde Bk BT" w:cs="Arial"/>
          <w:b/>
          <w:color w:val="000000"/>
          <w:sz w:val="20"/>
          <w:szCs w:val="20"/>
        </w:rPr>
        <w:t>TERCERO.</w:t>
      </w:r>
      <w:r w:rsidRPr="001E2936">
        <w:rPr>
          <w:rFonts w:ascii="AvantGarde Bk BT" w:eastAsia="Arial" w:hAnsi="AvantGarde Bk BT" w:cs="Arial"/>
          <w:color w:val="000000"/>
          <w:sz w:val="20"/>
          <w:szCs w:val="20"/>
        </w:rPr>
        <w:t xml:space="preserve"> Se faculta a la Comisión Permanente de Educación del H. Consejo General Universitario para aprobar el programa de la Unidad de Aprendizaje </w:t>
      </w:r>
      <w:r w:rsidRPr="001E2936">
        <w:rPr>
          <w:rFonts w:ascii="AvantGarde Bk BT" w:eastAsia="Arial" w:hAnsi="AvantGarde Bk BT" w:cs="Arial"/>
          <w:sz w:val="20"/>
          <w:szCs w:val="20"/>
        </w:rPr>
        <w:t>“Análisis de Problemas Globales del Siglo XXI”, y sus modificaciones</w:t>
      </w:r>
      <w:r w:rsidRPr="001E2936">
        <w:rPr>
          <w:rFonts w:ascii="AvantGarde Bk BT" w:eastAsia="Arial" w:hAnsi="AvantGarde Bk BT" w:cs="Arial"/>
          <w:color w:val="000000"/>
          <w:sz w:val="20"/>
          <w:szCs w:val="20"/>
        </w:rPr>
        <w:t xml:space="preserve">. </w:t>
      </w:r>
    </w:p>
    <w:p w:rsidR="00647AD9" w:rsidRPr="001E2936" w:rsidRDefault="00647AD9" w:rsidP="00647AD9">
      <w:pPr>
        <w:jc w:val="both"/>
        <w:rPr>
          <w:rFonts w:ascii="AvantGarde Bk BT" w:eastAsia="Arial" w:hAnsi="AvantGarde Bk BT" w:cs="Arial"/>
          <w:color w:val="000000"/>
          <w:sz w:val="20"/>
          <w:szCs w:val="20"/>
        </w:rPr>
      </w:pPr>
    </w:p>
    <w:p w:rsidR="00647AD9" w:rsidRPr="001E2936" w:rsidRDefault="00647AD9" w:rsidP="00647AD9">
      <w:pPr>
        <w:jc w:val="both"/>
        <w:rPr>
          <w:rFonts w:ascii="AvantGarde Bk BT" w:eastAsia="Arial" w:hAnsi="AvantGarde Bk BT" w:cs="Arial"/>
          <w:color w:val="000000" w:themeColor="text1"/>
          <w:sz w:val="20"/>
          <w:szCs w:val="20"/>
        </w:rPr>
      </w:pPr>
      <w:r w:rsidRPr="001E2936">
        <w:rPr>
          <w:rFonts w:ascii="AvantGarde Bk BT" w:eastAsia="Arial" w:hAnsi="AvantGarde Bk BT" w:cs="Arial"/>
          <w:color w:val="000000" w:themeColor="text1"/>
          <w:sz w:val="20"/>
          <w:szCs w:val="20"/>
        </w:rPr>
        <w:t xml:space="preserve">Los contenidos y las estrategias didácticas serán determinadas por la Comisión de Educación del </w:t>
      </w:r>
      <w:r w:rsidRPr="001E2936">
        <w:rPr>
          <w:rFonts w:ascii="AvantGarde Bk BT" w:eastAsia="Arial" w:hAnsi="AvantGarde Bk BT" w:cs="Arial"/>
          <w:color w:val="000000"/>
          <w:sz w:val="20"/>
          <w:szCs w:val="20"/>
        </w:rPr>
        <w:t>del H. Consejo General Universitario</w:t>
      </w:r>
      <w:r w:rsidRPr="001E2936">
        <w:rPr>
          <w:rFonts w:ascii="AvantGarde Bk BT" w:eastAsia="Arial" w:hAnsi="AvantGarde Bk BT" w:cs="Arial"/>
          <w:color w:val="000000" w:themeColor="text1"/>
          <w:sz w:val="20"/>
          <w:szCs w:val="20"/>
        </w:rPr>
        <w:t xml:space="preserve">, así como el tipo de curso, la carga horaria de teoría y práctica.  </w:t>
      </w:r>
    </w:p>
    <w:p w:rsidR="00647AD9" w:rsidRPr="001E2936" w:rsidRDefault="00647AD9" w:rsidP="00647AD9">
      <w:pPr>
        <w:jc w:val="both"/>
        <w:rPr>
          <w:rFonts w:ascii="AvantGarde Bk BT" w:eastAsia="Arial" w:hAnsi="AvantGarde Bk BT" w:cs="Arial"/>
          <w:sz w:val="20"/>
          <w:szCs w:val="20"/>
        </w:rPr>
      </w:pPr>
    </w:p>
    <w:p w:rsidR="00647AD9" w:rsidRPr="001E2936" w:rsidRDefault="00647AD9" w:rsidP="00647AD9">
      <w:pPr>
        <w:jc w:val="both"/>
        <w:rPr>
          <w:rFonts w:ascii="AvantGarde Bk BT" w:eastAsia="Arial" w:hAnsi="AvantGarde Bk BT" w:cs="Arial"/>
          <w:color w:val="000000"/>
          <w:sz w:val="20"/>
          <w:szCs w:val="20"/>
        </w:rPr>
      </w:pPr>
      <w:r w:rsidRPr="001E2936">
        <w:rPr>
          <w:rFonts w:ascii="AvantGarde Bk BT" w:eastAsia="Arial" w:hAnsi="AvantGarde Bk BT" w:cs="Arial"/>
          <w:b/>
          <w:sz w:val="20"/>
          <w:szCs w:val="20"/>
        </w:rPr>
        <w:t>CUARTO</w:t>
      </w:r>
      <w:r w:rsidRPr="001E2936">
        <w:rPr>
          <w:rFonts w:ascii="AvantGarde Bk BT" w:eastAsia="Arial" w:hAnsi="AvantGarde Bk BT" w:cs="Arial"/>
          <w:sz w:val="20"/>
          <w:szCs w:val="20"/>
        </w:rPr>
        <w:t>. Cada Centro Universitario</w:t>
      </w:r>
      <w:r w:rsidRPr="001E2936">
        <w:rPr>
          <w:rFonts w:ascii="AvantGarde Bk BT" w:eastAsia="Arial" w:hAnsi="AvantGarde Bk BT" w:cs="Arial"/>
          <w:color w:val="000000"/>
          <w:sz w:val="20"/>
          <w:szCs w:val="20"/>
        </w:rPr>
        <w:t xml:space="preserve"> determinará las estrategias y procedimientos que aseguren la impartición, seguimiento y acreditación de dicha Unidad de Aprendizaje. </w:t>
      </w:r>
    </w:p>
    <w:p w:rsidR="00647AD9" w:rsidRPr="001E2936" w:rsidRDefault="00647AD9" w:rsidP="00647AD9">
      <w:pPr>
        <w:jc w:val="both"/>
        <w:rPr>
          <w:rFonts w:ascii="AvantGarde Bk BT" w:eastAsia="Arial" w:hAnsi="AvantGarde Bk BT" w:cs="Arial"/>
          <w:color w:val="000000"/>
          <w:sz w:val="20"/>
          <w:szCs w:val="20"/>
        </w:rPr>
      </w:pPr>
    </w:p>
    <w:p w:rsidR="00647AD9" w:rsidRPr="001E2936" w:rsidRDefault="00647AD9" w:rsidP="00647AD9">
      <w:pPr>
        <w:jc w:val="both"/>
        <w:rPr>
          <w:rFonts w:ascii="AvantGarde Bk BT" w:eastAsia="Arial" w:hAnsi="AvantGarde Bk BT" w:cs="Arial"/>
          <w:color w:val="000000"/>
          <w:sz w:val="20"/>
          <w:szCs w:val="20"/>
        </w:rPr>
      </w:pPr>
      <w:r w:rsidRPr="001E2936">
        <w:rPr>
          <w:rFonts w:ascii="AvantGarde Bk BT" w:eastAsia="Arial" w:hAnsi="AvantGarde Bk BT" w:cs="Arial"/>
          <w:b/>
          <w:color w:val="000000"/>
          <w:sz w:val="20"/>
          <w:szCs w:val="20"/>
        </w:rPr>
        <w:t xml:space="preserve">QUINTO. </w:t>
      </w:r>
      <w:r w:rsidRPr="001E2936">
        <w:rPr>
          <w:rFonts w:ascii="AvantGarde Bk BT" w:eastAsia="Arial" w:hAnsi="AvantGarde Bk BT" w:cs="Arial"/>
          <w:color w:val="000000"/>
          <w:sz w:val="20"/>
          <w:szCs w:val="20"/>
        </w:rPr>
        <w:t xml:space="preserve">Se deberá incorporar en el presupuesto ordinario de cada uno de los </w:t>
      </w:r>
      <w:r w:rsidR="006A66F7" w:rsidRPr="001E2936">
        <w:rPr>
          <w:rFonts w:ascii="AvantGarde Bk BT" w:eastAsia="Arial" w:hAnsi="AvantGarde Bk BT" w:cs="Arial"/>
          <w:color w:val="000000"/>
          <w:sz w:val="20"/>
          <w:szCs w:val="20"/>
        </w:rPr>
        <w:t>C</w:t>
      </w:r>
      <w:r w:rsidRPr="001E2936">
        <w:rPr>
          <w:rFonts w:ascii="AvantGarde Bk BT" w:eastAsia="Arial" w:hAnsi="AvantGarde Bk BT" w:cs="Arial"/>
          <w:color w:val="000000"/>
          <w:sz w:val="20"/>
          <w:szCs w:val="20"/>
        </w:rPr>
        <w:t xml:space="preserve">entros </w:t>
      </w:r>
      <w:r w:rsidR="006A66F7" w:rsidRPr="001E2936">
        <w:rPr>
          <w:rFonts w:ascii="AvantGarde Bk BT" w:eastAsia="Arial" w:hAnsi="AvantGarde Bk BT" w:cs="Arial"/>
          <w:color w:val="000000"/>
          <w:sz w:val="20"/>
          <w:szCs w:val="20"/>
        </w:rPr>
        <w:t>U</w:t>
      </w:r>
      <w:r w:rsidRPr="001E2936">
        <w:rPr>
          <w:rFonts w:ascii="AvantGarde Bk BT" w:eastAsia="Arial" w:hAnsi="AvantGarde Bk BT" w:cs="Arial"/>
          <w:color w:val="000000"/>
          <w:sz w:val="20"/>
          <w:szCs w:val="20"/>
        </w:rPr>
        <w:t xml:space="preserve">niversitarios, un incremento irreductible a la partida de servicios personales, que asegure la implementación de dicho curso a partir de la aprobación del presente dictamen. </w:t>
      </w:r>
    </w:p>
    <w:p w:rsidR="00647AD9" w:rsidRPr="001E2936" w:rsidRDefault="00647AD9" w:rsidP="00647AD9">
      <w:pPr>
        <w:jc w:val="both"/>
        <w:rPr>
          <w:rFonts w:ascii="AvantGarde Bk BT" w:eastAsia="Arial" w:hAnsi="AvantGarde Bk BT" w:cs="Arial"/>
          <w:color w:val="000000"/>
          <w:sz w:val="20"/>
          <w:szCs w:val="20"/>
        </w:rPr>
      </w:pPr>
    </w:p>
    <w:p w:rsidR="00647AD9" w:rsidRPr="001E2936" w:rsidRDefault="00647AD9" w:rsidP="00647AD9">
      <w:pPr>
        <w:jc w:val="both"/>
        <w:rPr>
          <w:rFonts w:ascii="AvantGarde Bk BT" w:eastAsia="Arial" w:hAnsi="AvantGarde Bk BT" w:cs="Arial"/>
          <w:b/>
          <w:color w:val="000000"/>
          <w:sz w:val="20"/>
          <w:szCs w:val="20"/>
        </w:rPr>
      </w:pPr>
      <w:r w:rsidRPr="001E2936">
        <w:rPr>
          <w:rFonts w:ascii="AvantGarde Bk BT" w:eastAsia="Arial" w:hAnsi="AvantGarde Bk BT" w:cs="Arial"/>
          <w:b/>
          <w:color w:val="000000"/>
          <w:sz w:val="20"/>
          <w:szCs w:val="20"/>
        </w:rPr>
        <w:t>SEXTO</w:t>
      </w:r>
      <w:r w:rsidRPr="001E2936">
        <w:rPr>
          <w:rFonts w:ascii="AvantGarde Bk BT" w:eastAsia="Arial" w:hAnsi="AvantGarde Bk BT" w:cs="Arial"/>
          <w:color w:val="000000"/>
          <w:sz w:val="20"/>
          <w:szCs w:val="20"/>
        </w:rPr>
        <w:t>. Se autoriza por única ocasión la cantidad de $</w:t>
      </w:r>
      <w:r w:rsidR="001E2936">
        <w:rPr>
          <w:rFonts w:ascii="AvantGarde Bk BT" w:eastAsia="Arial" w:hAnsi="AvantGarde Bk BT" w:cs="Arial"/>
          <w:color w:val="000000"/>
          <w:sz w:val="20"/>
          <w:szCs w:val="20"/>
        </w:rPr>
        <w:t xml:space="preserve"> 1,000,000.00, (UN MILLÓN DE PESOS 00/100 M.N.)</w:t>
      </w:r>
      <w:r w:rsidRPr="001E2936">
        <w:rPr>
          <w:rFonts w:ascii="AvantGarde Bk BT" w:eastAsia="Arial" w:hAnsi="AvantGarde Bk BT" w:cs="Arial"/>
          <w:color w:val="000000"/>
          <w:sz w:val="20"/>
          <w:szCs w:val="20"/>
        </w:rPr>
        <w:t xml:space="preserve"> con cargo a los recursos asignados a</w:t>
      </w:r>
      <w:r w:rsidR="001E2936">
        <w:rPr>
          <w:rFonts w:ascii="AvantGarde Bk BT" w:eastAsia="Arial" w:hAnsi="AvantGarde Bk BT" w:cs="Arial"/>
          <w:color w:val="000000"/>
          <w:sz w:val="20"/>
          <w:szCs w:val="20"/>
        </w:rPr>
        <w:t xml:space="preserve"> ingresos autogenerados de ejercicios anteriores</w:t>
      </w:r>
      <w:r w:rsidRPr="001E2936">
        <w:rPr>
          <w:rFonts w:ascii="AvantGarde Bk BT" w:eastAsia="Arial" w:hAnsi="AvantGarde Bk BT" w:cs="Arial"/>
          <w:color w:val="000000"/>
          <w:sz w:val="20"/>
          <w:szCs w:val="20"/>
        </w:rPr>
        <w:t xml:space="preserve">, a efecto de financiar un programa de capacitación inicial del personal académico que se hará cargo de la impartición de la Unidad de Aprendizaje mismo que deberá ejercerse en el año de aprobación. </w:t>
      </w:r>
    </w:p>
    <w:p w:rsidR="00AE24A2" w:rsidRPr="001E2936" w:rsidRDefault="00AE24A2">
      <w:pPr>
        <w:widowControl/>
        <w:suppressAutoHyphens w:val="0"/>
        <w:spacing w:after="160" w:line="259" w:lineRule="auto"/>
        <w:rPr>
          <w:rFonts w:ascii="AvantGarde Bk BT" w:eastAsia="Questrial" w:hAnsi="AvantGarde Bk BT" w:cs="Arial"/>
          <w:color w:val="0432FF"/>
          <w:sz w:val="20"/>
          <w:szCs w:val="20"/>
        </w:rPr>
      </w:pPr>
      <w:r w:rsidRPr="001E2936">
        <w:rPr>
          <w:rFonts w:ascii="AvantGarde Bk BT" w:eastAsia="Questrial" w:hAnsi="AvantGarde Bk BT" w:cs="Arial"/>
          <w:color w:val="0432FF"/>
          <w:sz w:val="20"/>
          <w:szCs w:val="20"/>
        </w:rPr>
        <w:br w:type="page"/>
      </w:r>
    </w:p>
    <w:p w:rsidR="00647AD9" w:rsidRPr="001E2936" w:rsidRDefault="00647AD9" w:rsidP="00647AD9">
      <w:pPr>
        <w:jc w:val="both"/>
        <w:rPr>
          <w:rFonts w:ascii="AvantGarde Bk BT" w:eastAsia="Questrial" w:hAnsi="AvantGarde Bk BT" w:cs="Arial"/>
          <w:color w:val="0432FF"/>
          <w:sz w:val="20"/>
          <w:szCs w:val="20"/>
        </w:rPr>
      </w:pPr>
    </w:p>
    <w:p w:rsidR="00647AD9" w:rsidRPr="001E2936" w:rsidRDefault="00647AD9" w:rsidP="00647AD9">
      <w:pPr>
        <w:jc w:val="both"/>
        <w:rPr>
          <w:rFonts w:ascii="AvantGarde Bk BT" w:eastAsia="Arial" w:hAnsi="AvantGarde Bk BT" w:cs="Arial"/>
          <w:color w:val="000000"/>
          <w:sz w:val="20"/>
          <w:szCs w:val="20"/>
        </w:rPr>
      </w:pPr>
      <w:bookmarkStart w:id="1" w:name="_heading=h.gjdgxs" w:colFirst="0" w:colLast="0"/>
      <w:bookmarkEnd w:id="1"/>
      <w:r w:rsidRPr="001E2936">
        <w:rPr>
          <w:rFonts w:ascii="AvantGarde Bk BT" w:eastAsia="Arial" w:hAnsi="AvantGarde Bk BT" w:cs="Arial"/>
          <w:b/>
          <w:color w:val="000000"/>
          <w:sz w:val="20"/>
          <w:szCs w:val="20"/>
        </w:rPr>
        <w:t>OCTAVO.</w:t>
      </w:r>
      <w:r w:rsidRPr="001E2936">
        <w:rPr>
          <w:rFonts w:ascii="AvantGarde Bk BT" w:eastAsia="Arial" w:hAnsi="AvantGarde Bk BT" w:cs="Arial"/>
          <w:color w:val="000000"/>
          <w:sz w:val="20"/>
          <w:szCs w:val="20"/>
        </w:rPr>
        <w:t xml:space="preserve"> Ejecútese el presente dictamen en los términos de la fracción II del artículo 35 de la Ley Orgánica de la Universidad de Guadalajara.</w:t>
      </w:r>
    </w:p>
    <w:p w:rsidR="00647AD9" w:rsidRPr="001E2936" w:rsidRDefault="00647AD9" w:rsidP="00647AD9">
      <w:pPr>
        <w:jc w:val="both"/>
        <w:rPr>
          <w:rFonts w:ascii="AvantGarde Bk BT" w:eastAsia="Arial" w:hAnsi="AvantGarde Bk BT" w:cs="Arial"/>
          <w:b/>
          <w:color w:val="FF0000"/>
          <w:sz w:val="20"/>
          <w:szCs w:val="20"/>
        </w:rPr>
      </w:pPr>
    </w:p>
    <w:p w:rsidR="00647AD9" w:rsidRPr="001E2936" w:rsidRDefault="00647AD9" w:rsidP="00647AD9">
      <w:pPr>
        <w:jc w:val="center"/>
        <w:rPr>
          <w:rFonts w:ascii="AvantGarde Bk BT" w:eastAsia="Arial" w:hAnsi="AvantGarde Bk BT" w:cs="Arial"/>
          <w:b/>
          <w:color w:val="000000"/>
          <w:sz w:val="20"/>
          <w:szCs w:val="20"/>
        </w:rPr>
      </w:pPr>
      <w:r w:rsidRPr="001E2936">
        <w:rPr>
          <w:rFonts w:ascii="AvantGarde Bk BT" w:eastAsia="Arial" w:hAnsi="AvantGarde Bk BT" w:cs="Arial"/>
          <w:b/>
          <w:color w:val="000000"/>
          <w:sz w:val="20"/>
          <w:szCs w:val="20"/>
        </w:rPr>
        <w:t>Atentamente</w:t>
      </w:r>
    </w:p>
    <w:p w:rsidR="00647AD9" w:rsidRPr="001E2936" w:rsidRDefault="00647AD9" w:rsidP="00647AD9">
      <w:pPr>
        <w:jc w:val="center"/>
        <w:rPr>
          <w:rFonts w:ascii="AvantGarde Bk BT" w:eastAsia="Arial" w:hAnsi="AvantGarde Bk BT" w:cs="Arial"/>
          <w:b/>
          <w:color w:val="000000"/>
          <w:sz w:val="20"/>
          <w:szCs w:val="20"/>
        </w:rPr>
      </w:pPr>
      <w:r w:rsidRPr="001E2936">
        <w:rPr>
          <w:rFonts w:ascii="AvantGarde Bk BT" w:eastAsia="Arial" w:hAnsi="AvantGarde Bk BT" w:cs="Arial"/>
          <w:b/>
          <w:color w:val="000000"/>
          <w:sz w:val="20"/>
          <w:szCs w:val="20"/>
        </w:rPr>
        <w:t>"PIENSA Y TRABAJA"</w:t>
      </w:r>
    </w:p>
    <w:p w:rsidR="00647AD9" w:rsidRPr="001E2936" w:rsidRDefault="00647AD9" w:rsidP="00647AD9">
      <w:pPr>
        <w:jc w:val="center"/>
        <w:rPr>
          <w:rFonts w:ascii="AvantGarde Bk BT" w:eastAsia="Arial" w:hAnsi="AvantGarde Bk BT" w:cs="Arial"/>
          <w:b/>
          <w:i/>
          <w:sz w:val="20"/>
          <w:szCs w:val="20"/>
        </w:rPr>
      </w:pPr>
      <w:r w:rsidRPr="001E2936">
        <w:rPr>
          <w:rFonts w:ascii="AvantGarde Bk BT" w:eastAsia="Arial" w:hAnsi="AvantGarde Bk BT" w:cs="Arial"/>
          <w:b/>
          <w:sz w:val="20"/>
          <w:szCs w:val="20"/>
        </w:rPr>
        <w:t>“</w:t>
      </w:r>
      <w:r w:rsidRPr="001E2936">
        <w:rPr>
          <w:rFonts w:ascii="AvantGarde Bk BT" w:eastAsia="Arial" w:hAnsi="AvantGarde Bk BT" w:cs="Arial"/>
          <w:b/>
          <w:i/>
          <w:sz w:val="20"/>
          <w:szCs w:val="20"/>
        </w:rPr>
        <w:t>2023, Año del fomento a la formación integral</w:t>
      </w:r>
    </w:p>
    <w:p w:rsidR="00647AD9" w:rsidRPr="001E2936" w:rsidRDefault="00647AD9" w:rsidP="00647AD9">
      <w:pPr>
        <w:jc w:val="center"/>
        <w:rPr>
          <w:rFonts w:ascii="AvantGarde Bk BT" w:eastAsia="Arial" w:hAnsi="AvantGarde Bk BT" w:cs="Arial"/>
          <w:b/>
          <w:i/>
          <w:color w:val="000000"/>
          <w:sz w:val="20"/>
          <w:szCs w:val="20"/>
        </w:rPr>
      </w:pPr>
      <w:r w:rsidRPr="001E2936">
        <w:rPr>
          <w:rFonts w:ascii="AvantGarde Bk BT" w:eastAsia="Arial" w:hAnsi="AvantGarde Bk BT" w:cs="Arial"/>
          <w:b/>
          <w:i/>
          <w:sz w:val="20"/>
          <w:szCs w:val="20"/>
        </w:rPr>
        <w:t>con una Red de Centros y Sistemas Multitemáticos</w:t>
      </w:r>
      <w:r w:rsidRPr="001E2936">
        <w:rPr>
          <w:rFonts w:ascii="AvantGarde Bk BT" w:eastAsia="Arial" w:hAnsi="AvantGarde Bk BT" w:cs="Arial"/>
          <w:b/>
          <w:sz w:val="20"/>
          <w:szCs w:val="20"/>
        </w:rPr>
        <w:t>”</w:t>
      </w:r>
    </w:p>
    <w:p w:rsidR="00647AD9" w:rsidRPr="001E2936" w:rsidRDefault="00647AD9" w:rsidP="00647AD9">
      <w:pPr>
        <w:jc w:val="center"/>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 xml:space="preserve">Guadalajara, Jal., </w:t>
      </w:r>
      <w:r w:rsidR="00066CDD" w:rsidRPr="001E2936">
        <w:rPr>
          <w:rFonts w:ascii="AvantGarde Bk BT" w:eastAsia="Arial" w:hAnsi="AvantGarde Bk BT" w:cs="Arial"/>
          <w:color w:val="000000"/>
          <w:sz w:val="20"/>
          <w:szCs w:val="20"/>
        </w:rPr>
        <w:t>07</w:t>
      </w:r>
      <w:r w:rsidRPr="001E2936">
        <w:rPr>
          <w:rFonts w:ascii="AvantGarde Bk BT" w:eastAsia="Arial" w:hAnsi="AvantGarde Bk BT" w:cs="Arial"/>
          <w:color w:val="000000"/>
          <w:sz w:val="20"/>
          <w:szCs w:val="20"/>
        </w:rPr>
        <w:t xml:space="preserve"> de julio de 2023</w:t>
      </w:r>
    </w:p>
    <w:p w:rsidR="00647AD9" w:rsidRPr="001E2936" w:rsidRDefault="00647AD9" w:rsidP="00647AD9">
      <w:pPr>
        <w:jc w:val="center"/>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Comisiones Permanentes de Educación y de Hacienda</w:t>
      </w:r>
    </w:p>
    <w:p w:rsidR="00647AD9" w:rsidRPr="001E2936" w:rsidRDefault="00647AD9" w:rsidP="00647AD9">
      <w:pPr>
        <w:jc w:val="center"/>
        <w:rPr>
          <w:rFonts w:ascii="AvantGarde Bk BT" w:eastAsia="Arial" w:hAnsi="AvantGarde Bk BT" w:cs="Arial"/>
          <w:color w:val="000000"/>
          <w:sz w:val="20"/>
          <w:szCs w:val="20"/>
        </w:rPr>
      </w:pPr>
    </w:p>
    <w:p w:rsidR="00647AD9" w:rsidRPr="001E2936" w:rsidRDefault="00647AD9" w:rsidP="00647AD9">
      <w:pPr>
        <w:jc w:val="center"/>
        <w:rPr>
          <w:rFonts w:ascii="AvantGarde Bk BT" w:eastAsia="Arial" w:hAnsi="AvantGarde Bk BT" w:cs="Arial"/>
          <w:color w:val="000000"/>
          <w:sz w:val="20"/>
          <w:szCs w:val="20"/>
        </w:rPr>
      </w:pPr>
    </w:p>
    <w:p w:rsidR="00647AD9" w:rsidRPr="001E2936" w:rsidRDefault="00647AD9" w:rsidP="00647AD9">
      <w:pPr>
        <w:jc w:val="center"/>
        <w:rPr>
          <w:rFonts w:ascii="AvantGarde Bk BT" w:eastAsia="Arial" w:hAnsi="AvantGarde Bk BT" w:cs="Arial"/>
          <w:color w:val="000000"/>
          <w:sz w:val="20"/>
          <w:szCs w:val="20"/>
        </w:rPr>
      </w:pPr>
    </w:p>
    <w:p w:rsidR="00647AD9" w:rsidRPr="001E2936" w:rsidRDefault="00647AD9" w:rsidP="00647AD9">
      <w:pPr>
        <w:jc w:val="center"/>
        <w:rPr>
          <w:rFonts w:ascii="AvantGarde Bk BT" w:eastAsia="Arial" w:hAnsi="AvantGarde Bk BT" w:cs="Arial"/>
          <w:b/>
          <w:color w:val="000000"/>
          <w:sz w:val="20"/>
          <w:szCs w:val="20"/>
        </w:rPr>
      </w:pPr>
      <w:r w:rsidRPr="001E2936">
        <w:rPr>
          <w:rFonts w:ascii="AvantGarde Bk BT" w:eastAsia="Arial" w:hAnsi="AvantGarde Bk BT" w:cs="Arial"/>
          <w:b/>
          <w:color w:val="000000"/>
          <w:sz w:val="20"/>
          <w:szCs w:val="20"/>
        </w:rPr>
        <w:t>Dr. Ricardo Villanueva Lomelí</w:t>
      </w:r>
    </w:p>
    <w:p w:rsidR="00647AD9" w:rsidRPr="001E2936" w:rsidRDefault="00647AD9" w:rsidP="00647AD9">
      <w:pPr>
        <w:jc w:val="center"/>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Presidente</w:t>
      </w:r>
    </w:p>
    <w:tbl>
      <w:tblPr>
        <w:tblW w:w="9405" w:type="dxa"/>
        <w:jc w:val="center"/>
        <w:tblLayout w:type="fixed"/>
        <w:tblLook w:val="0400" w:firstRow="0" w:lastRow="0" w:firstColumn="0" w:lastColumn="0" w:noHBand="0" w:noVBand="1"/>
      </w:tblPr>
      <w:tblGrid>
        <w:gridCol w:w="4595"/>
        <w:gridCol w:w="4810"/>
      </w:tblGrid>
      <w:tr w:rsidR="00647AD9" w:rsidRPr="001E2936" w:rsidTr="003A69D8">
        <w:trPr>
          <w:jc w:val="center"/>
        </w:trPr>
        <w:tc>
          <w:tcPr>
            <w:tcW w:w="4595" w:type="dxa"/>
            <w:tcMar>
              <w:top w:w="0" w:type="dxa"/>
              <w:left w:w="108" w:type="dxa"/>
              <w:bottom w:w="0" w:type="dxa"/>
              <w:right w:w="108" w:type="dxa"/>
            </w:tcMar>
            <w:vAlign w:val="center"/>
          </w:tcPr>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r w:rsidRPr="001E2936">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rsidR="00647AD9" w:rsidRPr="001E2936" w:rsidRDefault="00647AD9" w:rsidP="00647AD9">
            <w:pPr>
              <w:jc w:val="center"/>
              <w:rPr>
                <w:rFonts w:ascii="AvantGarde Bk BT" w:hAnsi="AvantGarde Bk BT"/>
                <w:sz w:val="20"/>
                <w:szCs w:val="20"/>
              </w:rPr>
            </w:pPr>
          </w:p>
          <w:p w:rsidR="00647AD9" w:rsidRPr="001E2936" w:rsidRDefault="00647AD9" w:rsidP="00647AD9">
            <w:pPr>
              <w:jc w:val="center"/>
              <w:rPr>
                <w:rFonts w:ascii="AvantGarde Bk BT" w:hAnsi="AvantGarde Bk BT"/>
                <w:sz w:val="20"/>
                <w:szCs w:val="20"/>
              </w:rPr>
            </w:pPr>
          </w:p>
          <w:p w:rsidR="00647AD9" w:rsidRPr="001E2936" w:rsidRDefault="00647AD9" w:rsidP="00647AD9">
            <w:pPr>
              <w:jc w:val="center"/>
              <w:rPr>
                <w:rFonts w:ascii="AvantGarde Bk BT" w:hAnsi="AvantGarde Bk BT"/>
                <w:sz w:val="20"/>
                <w:szCs w:val="20"/>
              </w:rPr>
            </w:pPr>
          </w:p>
          <w:p w:rsidR="00647AD9" w:rsidRPr="001E2936" w:rsidRDefault="00647AD9" w:rsidP="00647AD9">
            <w:pPr>
              <w:jc w:val="center"/>
              <w:rPr>
                <w:rFonts w:ascii="AvantGarde Bk BT" w:hAnsi="AvantGarde Bk BT"/>
                <w:sz w:val="20"/>
                <w:szCs w:val="20"/>
              </w:rPr>
            </w:pPr>
            <w:r w:rsidRPr="001E2936">
              <w:rPr>
                <w:rFonts w:ascii="AvantGarde Bk BT" w:hAnsi="AvantGarde Bk BT"/>
                <w:sz w:val="20"/>
                <w:szCs w:val="20"/>
              </w:rPr>
              <w:t xml:space="preserve">Dra. Irma Leticia Leal Moya </w:t>
            </w:r>
          </w:p>
        </w:tc>
      </w:tr>
      <w:tr w:rsidR="00647AD9" w:rsidRPr="001E2936" w:rsidTr="003A69D8">
        <w:trPr>
          <w:jc w:val="center"/>
        </w:trPr>
        <w:tc>
          <w:tcPr>
            <w:tcW w:w="4595" w:type="dxa"/>
            <w:tcMar>
              <w:top w:w="0" w:type="dxa"/>
              <w:left w:w="108" w:type="dxa"/>
              <w:bottom w:w="0" w:type="dxa"/>
              <w:right w:w="108" w:type="dxa"/>
            </w:tcMar>
          </w:tcPr>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r w:rsidRPr="001E2936">
              <w:rPr>
                <w:rFonts w:ascii="AvantGarde Bk BT" w:hAnsi="AvantGarde Bk BT"/>
                <w:sz w:val="20"/>
                <w:szCs w:val="20"/>
              </w:rPr>
              <w:t xml:space="preserve">Mtra. Karla Alejandrina </w:t>
            </w:r>
            <w:proofErr w:type="spellStart"/>
            <w:r w:rsidRPr="001E2936">
              <w:rPr>
                <w:rFonts w:ascii="AvantGarde Bk BT" w:hAnsi="AvantGarde Bk BT"/>
                <w:sz w:val="20"/>
                <w:szCs w:val="20"/>
              </w:rPr>
              <w:t>Planter</w:t>
            </w:r>
            <w:proofErr w:type="spellEnd"/>
            <w:r w:rsidRPr="001E2936">
              <w:rPr>
                <w:rFonts w:ascii="AvantGarde Bk BT" w:hAnsi="AvantGarde Bk BT"/>
                <w:sz w:val="20"/>
                <w:szCs w:val="20"/>
              </w:rPr>
              <w:t xml:space="preserve"> Pérez</w:t>
            </w:r>
          </w:p>
        </w:tc>
        <w:tc>
          <w:tcPr>
            <w:tcW w:w="4810" w:type="dxa"/>
            <w:tcMar>
              <w:top w:w="0" w:type="dxa"/>
              <w:left w:w="108" w:type="dxa"/>
              <w:bottom w:w="0" w:type="dxa"/>
              <w:right w:w="108" w:type="dxa"/>
            </w:tcMar>
          </w:tcPr>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r w:rsidRPr="001E2936">
              <w:rPr>
                <w:rFonts w:ascii="AvantGarde Bk BT" w:hAnsi="AvantGarde Bk BT"/>
                <w:sz w:val="20"/>
                <w:szCs w:val="20"/>
              </w:rPr>
              <w:t>Mtro. Luis Gustavo Padilla Montes</w:t>
            </w:r>
          </w:p>
        </w:tc>
      </w:tr>
      <w:tr w:rsidR="00647AD9" w:rsidRPr="001E2936" w:rsidTr="003A69D8">
        <w:trPr>
          <w:jc w:val="center"/>
        </w:trPr>
        <w:tc>
          <w:tcPr>
            <w:tcW w:w="4595" w:type="dxa"/>
            <w:tcMar>
              <w:top w:w="0" w:type="dxa"/>
              <w:left w:w="108" w:type="dxa"/>
              <w:bottom w:w="0" w:type="dxa"/>
              <w:right w:w="108" w:type="dxa"/>
            </w:tcMar>
          </w:tcPr>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r w:rsidRPr="001E2936">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1E2936" w:rsidP="00647AD9">
            <w:pPr>
              <w:tabs>
                <w:tab w:val="left" w:pos="426"/>
              </w:tabs>
              <w:jc w:val="center"/>
              <w:rPr>
                <w:rFonts w:ascii="AvantGarde Bk BT" w:hAnsi="AvantGarde Bk BT"/>
                <w:sz w:val="20"/>
                <w:szCs w:val="20"/>
              </w:rPr>
            </w:pPr>
            <w:r>
              <w:rPr>
                <w:rFonts w:ascii="AvantGarde Bk BT" w:hAnsi="AvantGarde Bk BT"/>
                <w:sz w:val="20"/>
                <w:szCs w:val="20"/>
              </w:rPr>
              <w:t>Lic</w:t>
            </w:r>
            <w:r w:rsidR="00647AD9" w:rsidRPr="001E2936">
              <w:rPr>
                <w:rFonts w:ascii="AvantGarde Bk BT" w:hAnsi="AvantGarde Bk BT"/>
                <w:sz w:val="20"/>
                <w:szCs w:val="20"/>
              </w:rPr>
              <w:t>. Jesús Palafox Yáñez</w:t>
            </w:r>
          </w:p>
        </w:tc>
      </w:tr>
      <w:tr w:rsidR="00647AD9" w:rsidRPr="001E2936" w:rsidTr="003A69D8">
        <w:trPr>
          <w:jc w:val="center"/>
        </w:trPr>
        <w:tc>
          <w:tcPr>
            <w:tcW w:w="4595" w:type="dxa"/>
            <w:tcMar>
              <w:top w:w="0" w:type="dxa"/>
              <w:left w:w="108" w:type="dxa"/>
              <w:bottom w:w="0" w:type="dxa"/>
              <w:right w:w="108" w:type="dxa"/>
            </w:tcMar>
          </w:tcPr>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r w:rsidRPr="001E2936">
              <w:rPr>
                <w:rFonts w:ascii="AvantGarde Bk BT" w:hAnsi="AvantGarde Bk BT"/>
                <w:sz w:val="20"/>
                <w:szCs w:val="20"/>
              </w:rPr>
              <w:t>C. Iván Tenorio Alanís</w:t>
            </w:r>
          </w:p>
        </w:tc>
        <w:tc>
          <w:tcPr>
            <w:tcW w:w="4810" w:type="dxa"/>
            <w:tcMar>
              <w:top w:w="0" w:type="dxa"/>
              <w:left w:w="108" w:type="dxa"/>
              <w:bottom w:w="0" w:type="dxa"/>
              <w:right w:w="108" w:type="dxa"/>
            </w:tcMar>
          </w:tcPr>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p>
          <w:p w:rsidR="00647AD9" w:rsidRPr="001E2936" w:rsidRDefault="00647AD9" w:rsidP="00647AD9">
            <w:pPr>
              <w:tabs>
                <w:tab w:val="left" w:pos="426"/>
              </w:tabs>
              <w:jc w:val="center"/>
              <w:rPr>
                <w:rFonts w:ascii="AvantGarde Bk BT" w:hAnsi="AvantGarde Bk BT"/>
                <w:sz w:val="20"/>
                <w:szCs w:val="20"/>
              </w:rPr>
            </w:pPr>
            <w:r w:rsidRPr="001E2936">
              <w:rPr>
                <w:rFonts w:ascii="AvantGarde Bk BT" w:hAnsi="AvantGarde Bk BT"/>
                <w:sz w:val="20"/>
                <w:szCs w:val="20"/>
              </w:rPr>
              <w:t>C. Zoé Elizabeth García Romero</w:t>
            </w:r>
          </w:p>
        </w:tc>
      </w:tr>
    </w:tbl>
    <w:p w:rsidR="00647AD9" w:rsidRPr="001E2936" w:rsidRDefault="00647AD9" w:rsidP="00647AD9">
      <w:pPr>
        <w:jc w:val="center"/>
        <w:rPr>
          <w:rFonts w:ascii="AvantGarde Bk BT" w:eastAsia="Arial" w:hAnsi="AvantGarde Bk BT" w:cs="Arial"/>
          <w:color w:val="000000"/>
          <w:sz w:val="20"/>
          <w:szCs w:val="20"/>
        </w:rPr>
      </w:pPr>
    </w:p>
    <w:p w:rsidR="00647AD9" w:rsidRPr="001E2936" w:rsidRDefault="00647AD9" w:rsidP="00647AD9">
      <w:pPr>
        <w:jc w:val="center"/>
        <w:rPr>
          <w:rFonts w:ascii="AvantGarde Bk BT" w:eastAsia="Arial" w:hAnsi="AvantGarde Bk BT" w:cs="Arial"/>
          <w:color w:val="000000"/>
          <w:sz w:val="20"/>
          <w:szCs w:val="20"/>
        </w:rPr>
      </w:pPr>
    </w:p>
    <w:p w:rsidR="00647AD9" w:rsidRPr="001E2936" w:rsidRDefault="00647AD9" w:rsidP="00647AD9">
      <w:pPr>
        <w:jc w:val="center"/>
        <w:rPr>
          <w:rFonts w:ascii="AvantGarde Bk BT" w:eastAsia="Arial" w:hAnsi="AvantGarde Bk BT" w:cs="Arial"/>
          <w:color w:val="000000"/>
          <w:sz w:val="20"/>
          <w:szCs w:val="20"/>
        </w:rPr>
      </w:pPr>
    </w:p>
    <w:p w:rsidR="00647AD9" w:rsidRPr="001E2936" w:rsidRDefault="00647AD9" w:rsidP="00647AD9">
      <w:pPr>
        <w:jc w:val="center"/>
        <w:rPr>
          <w:rFonts w:ascii="AvantGarde Bk BT" w:eastAsia="Arial" w:hAnsi="AvantGarde Bk BT" w:cs="Arial"/>
          <w:color w:val="000000"/>
          <w:sz w:val="20"/>
          <w:szCs w:val="20"/>
        </w:rPr>
      </w:pPr>
    </w:p>
    <w:p w:rsidR="00647AD9" w:rsidRPr="001E2936" w:rsidRDefault="00647AD9" w:rsidP="00647AD9">
      <w:pPr>
        <w:jc w:val="center"/>
        <w:rPr>
          <w:rFonts w:ascii="AvantGarde Bk BT" w:eastAsia="Arial" w:hAnsi="AvantGarde Bk BT" w:cs="Arial"/>
          <w:b/>
          <w:color w:val="000000"/>
          <w:sz w:val="20"/>
          <w:szCs w:val="20"/>
        </w:rPr>
      </w:pPr>
      <w:r w:rsidRPr="001E2936">
        <w:rPr>
          <w:rFonts w:ascii="AvantGarde Bk BT" w:eastAsia="Arial" w:hAnsi="AvantGarde Bk BT" w:cs="Arial"/>
          <w:b/>
          <w:color w:val="000000"/>
          <w:sz w:val="20"/>
          <w:szCs w:val="20"/>
        </w:rPr>
        <w:t xml:space="preserve">Mtro. Guillermo Arturo Gómez Mata </w:t>
      </w:r>
    </w:p>
    <w:p w:rsidR="00647AD9" w:rsidRPr="001E2936" w:rsidRDefault="00647AD9" w:rsidP="00647AD9">
      <w:pPr>
        <w:jc w:val="center"/>
        <w:rPr>
          <w:rFonts w:ascii="AvantGarde Bk BT" w:eastAsia="Arial" w:hAnsi="AvantGarde Bk BT" w:cs="Arial"/>
          <w:color w:val="000000"/>
          <w:sz w:val="20"/>
          <w:szCs w:val="20"/>
        </w:rPr>
      </w:pPr>
      <w:r w:rsidRPr="001E2936">
        <w:rPr>
          <w:rFonts w:ascii="AvantGarde Bk BT" w:eastAsia="Arial" w:hAnsi="AvantGarde Bk BT" w:cs="Arial"/>
          <w:color w:val="000000"/>
          <w:sz w:val="20"/>
          <w:szCs w:val="20"/>
        </w:rPr>
        <w:t>Secretario de Actas y Acuerdos</w:t>
      </w:r>
    </w:p>
    <w:p w:rsidR="00647AD9" w:rsidRPr="001E2936" w:rsidRDefault="00647AD9" w:rsidP="00647AD9">
      <w:pPr>
        <w:rPr>
          <w:rFonts w:ascii="AvantGarde Bk BT" w:eastAsia="Arial" w:hAnsi="AvantGarde Bk BT" w:cs="Arial"/>
          <w:sz w:val="20"/>
          <w:szCs w:val="20"/>
        </w:rPr>
      </w:pPr>
    </w:p>
    <w:sectPr w:rsidR="00647AD9" w:rsidRPr="001E2936" w:rsidSect="00647AD9">
      <w:headerReference w:type="default" r:id="rId7"/>
      <w:footerReference w:type="default" r:id="rId8"/>
      <w:pgSz w:w="12240" w:h="15840" w:code="1"/>
      <w:pgMar w:top="2552" w:right="1134" w:bottom="1701" w:left="1701" w:header="709" w:footer="709"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56" w:rsidRDefault="00136056" w:rsidP="00647AD9">
      <w:r>
        <w:separator/>
      </w:r>
    </w:p>
  </w:endnote>
  <w:endnote w:type="continuationSeparator" w:id="0">
    <w:p w:rsidR="00136056" w:rsidRDefault="00136056" w:rsidP="0064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B75" w:rsidRDefault="004D7028" w:rsidP="00A55B42">
    <w:pPr>
      <w:pStyle w:val="Piedepgina"/>
      <w:jc w:val="center"/>
      <w:rPr>
        <w:sz w:val="17"/>
        <w:szCs w:val="17"/>
      </w:rPr>
    </w:pPr>
    <w:r w:rsidRPr="001200B4">
      <w:rPr>
        <w:sz w:val="17"/>
        <w:szCs w:val="17"/>
      </w:rPr>
      <w:t xml:space="preserve">Página </w:t>
    </w:r>
    <w:r w:rsidRPr="001200B4">
      <w:rPr>
        <w:sz w:val="17"/>
        <w:szCs w:val="17"/>
      </w:rPr>
      <w:fldChar w:fldCharType="begin"/>
    </w:r>
    <w:r w:rsidRPr="001200B4">
      <w:rPr>
        <w:sz w:val="17"/>
        <w:szCs w:val="17"/>
      </w:rPr>
      <w:instrText xml:space="preserve"> PAGE </w:instrText>
    </w:r>
    <w:r w:rsidRPr="001200B4">
      <w:rPr>
        <w:sz w:val="17"/>
        <w:szCs w:val="17"/>
      </w:rPr>
      <w:fldChar w:fldCharType="separate"/>
    </w:r>
    <w:r>
      <w:rPr>
        <w:noProof/>
        <w:sz w:val="17"/>
        <w:szCs w:val="17"/>
      </w:rPr>
      <w:t>10</w:t>
    </w:r>
    <w:r w:rsidRPr="001200B4">
      <w:rPr>
        <w:sz w:val="17"/>
        <w:szCs w:val="17"/>
      </w:rPr>
      <w:fldChar w:fldCharType="end"/>
    </w:r>
    <w:r w:rsidRPr="001200B4">
      <w:rPr>
        <w:sz w:val="17"/>
        <w:szCs w:val="17"/>
      </w:rPr>
      <w:t xml:space="preserve"> de </w:t>
    </w:r>
    <w:r w:rsidRPr="001200B4">
      <w:rPr>
        <w:sz w:val="17"/>
        <w:szCs w:val="17"/>
      </w:rPr>
      <w:fldChar w:fldCharType="begin"/>
    </w:r>
    <w:r w:rsidRPr="001200B4">
      <w:rPr>
        <w:sz w:val="17"/>
        <w:szCs w:val="17"/>
      </w:rPr>
      <w:instrText xml:space="preserve"> NUMPAGES \*Arabic </w:instrText>
    </w:r>
    <w:r w:rsidRPr="001200B4">
      <w:rPr>
        <w:sz w:val="17"/>
        <w:szCs w:val="17"/>
      </w:rPr>
      <w:fldChar w:fldCharType="separate"/>
    </w:r>
    <w:r>
      <w:rPr>
        <w:noProof/>
        <w:sz w:val="17"/>
        <w:szCs w:val="17"/>
      </w:rPr>
      <w:t>10</w:t>
    </w:r>
    <w:r w:rsidRPr="001200B4">
      <w:rPr>
        <w:sz w:val="17"/>
        <w:szCs w:val="17"/>
      </w:rPr>
      <w:fldChar w:fldCharType="end"/>
    </w:r>
  </w:p>
  <w:p w:rsidR="002B7B75" w:rsidRDefault="004D7028">
    <w:pPr>
      <w:pStyle w:val="Piedepgina"/>
      <w:spacing w:line="276" w:lineRule="auto"/>
      <w:jc w:val="center"/>
      <w:rPr>
        <w:sz w:val="17"/>
        <w:szCs w:val="17"/>
      </w:rPr>
    </w:pPr>
    <w:r>
      <w:rPr>
        <w:sz w:val="17"/>
        <w:szCs w:val="17"/>
      </w:rPr>
      <w:t>Av. Juárez No. 976, Edificio de la Rectoría General, Piso 5, Colonia Centro C.P. 44100.</w:t>
    </w:r>
  </w:p>
  <w:p w:rsidR="002B7B75" w:rsidRDefault="004D7028">
    <w:pPr>
      <w:pStyle w:val="Piedepgina"/>
      <w:spacing w:line="276" w:lineRule="auto"/>
      <w:jc w:val="center"/>
      <w:rPr>
        <w:b/>
        <w:sz w:val="17"/>
        <w:szCs w:val="17"/>
      </w:rPr>
    </w:pPr>
    <w:r>
      <w:rPr>
        <w:sz w:val="17"/>
        <w:szCs w:val="17"/>
      </w:rPr>
      <w:t xml:space="preserve">Guadalajara, Jalisco. México. Tel. [52] 333134 2222, </w:t>
    </w:r>
    <w:proofErr w:type="spellStart"/>
    <w:r>
      <w:rPr>
        <w:sz w:val="17"/>
        <w:szCs w:val="17"/>
      </w:rPr>
      <w:t>Exts</w:t>
    </w:r>
    <w:proofErr w:type="spellEnd"/>
    <w:r>
      <w:rPr>
        <w:sz w:val="17"/>
        <w:szCs w:val="17"/>
      </w:rPr>
      <w:t xml:space="preserve">. 12428, 12243, 12420 y 12457 Tel. </w:t>
    </w:r>
    <w:proofErr w:type="spellStart"/>
    <w:r>
      <w:rPr>
        <w:sz w:val="17"/>
        <w:szCs w:val="17"/>
      </w:rPr>
      <w:t>dir.</w:t>
    </w:r>
    <w:proofErr w:type="spellEnd"/>
    <w:r>
      <w:rPr>
        <w:sz w:val="17"/>
        <w:szCs w:val="17"/>
      </w:rPr>
      <w:t xml:space="preserve"> 333134 2243 </w:t>
    </w:r>
  </w:p>
  <w:p w:rsidR="002B7B75" w:rsidRDefault="004D7028" w:rsidP="00A55B42">
    <w:pPr>
      <w:pStyle w:val="Piedepgina"/>
      <w:spacing w:line="276" w:lineRule="auto"/>
      <w:jc w:val="center"/>
      <w:rPr>
        <w:szCs w:val="17"/>
      </w:rPr>
    </w:pPr>
    <w:r>
      <w:rPr>
        <w:b/>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56" w:rsidRDefault="00136056" w:rsidP="00647AD9">
      <w:r>
        <w:separator/>
      </w:r>
    </w:p>
  </w:footnote>
  <w:footnote w:type="continuationSeparator" w:id="0">
    <w:p w:rsidR="00136056" w:rsidRDefault="00136056" w:rsidP="00647AD9">
      <w:r>
        <w:continuationSeparator/>
      </w:r>
    </w:p>
  </w:footnote>
  <w:footnote w:id="1">
    <w:p w:rsidR="00647AD9" w:rsidRPr="00647AD9" w:rsidRDefault="00647AD9" w:rsidP="00647AD9">
      <w:pPr>
        <w:pBdr>
          <w:top w:val="nil"/>
          <w:left w:val="nil"/>
          <w:bottom w:val="nil"/>
          <w:right w:val="nil"/>
          <w:between w:val="nil"/>
        </w:pBdr>
        <w:jc w:val="both"/>
        <w:rPr>
          <w:rFonts w:ascii="Arial Narrow" w:eastAsia="Arial Narrow" w:hAnsi="Arial Narrow" w:cs="Arial Narrow"/>
          <w:sz w:val="16"/>
          <w:szCs w:val="16"/>
        </w:rPr>
      </w:pPr>
      <w:r w:rsidRPr="00647AD9">
        <w:rPr>
          <w:sz w:val="16"/>
          <w:szCs w:val="16"/>
          <w:vertAlign w:val="superscript"/>
        </w:rPr>
        <w:footnoteRef/>
      </w:r>
      <w:r w:rsidRPr="00647AD9">
        <w:rPr>
          <w:rFonts w:ascii="Arial Narrow" w:eastAsia="Arial Narrow" w:hAnsi="Arial Narrow" w:cs="Arial Narrow"/>
          <w:color w:val="000000"/>
          <w:sz w:val="16"/>
          <w:szCs w:val="16"/>
        </w:rPr>
        <w:t xml:space="preserve"> Universidad de Guadalajara (Plan de Desarrollo Institucional 2019-2025, Visión 2030, Tradición y cambio. Recuperado el 15 de marzo de 2023, desde: </w:t>
      </w:r>
      <w:hyperlink r:id="rId1">
        <w:r w:rsidRPr="00647AD9">
          <w:rPr>
            <w:rFonts w:ascii="Arial Narrow" w:eastAsia="Arial Narrow" w:hAnsi="Arial Narrow" w:cs="Arial Narrow"/>
            <w:sz w:val="16"/>
            <w:szCs w:val="16"/>
            <w:u w:val="single"/>
          </w:rPr>
          <w:t>https://cgpe.udg.mx/planeacion/plan-de-desarrollo-institucional-2019-2025-vision-2030-tradicion-y-cambio</w:t>
        </w:r>
      </w:hyperlink>
      <w:r w:rsidRPr="00647AD9">
        <w:rPr>
          <w:rFonts w:ascii="Arial Narrow" w:eastAsia="Arial Narrow" w:hAnsi="Arial Narrow" w:cs="Arial Narrow"/>
          <w:sz w:val="16"/>
          <w:szCs w:val="16"/>
        </w:rPr>
        <w:t xml:space="preserve"> </w:t>
      </w:r>
    </w:p>
  </w:footnote>
  <w:footnote w:id="2">
    <w:p w:rsidR="00647AD9" w:rsidRPr="00647AD9" w:rsidRDefault="00647AD9" w:rsidP="00647AD9">
      <w:pPr>
        <w:pBdr>
          <w:top w:val="nil"/>
          <w:left w:val="nil"/>
          <w:bottom w:val="nil"/>
          <w:right w:val="nil"/>
          <w:between w:val="nil"/>
        </w:pBdr>
        <w:rPr>
          <w:color w:val="000000"/>
          <w:sz w:val="16"/>
          <w:szCs w:val="16"/>
        </w:rPr>
      </w:pPr>
      <w:r w:rsidRPr="00647AD9">
        <w:rPr>
          <w:sz w:val="16"/>
          <w:szCs w:val="16"/>
          <w:vertAlign w:val="superscript"/>
        </w:rPr>
        <w:footnoteRef/>
      </w:r>
      <w:r w:rsidRPr="00647AD9">
        <w:rPr>
          <w:color w:val="000000"/>
          <w:sz w:val="16"/>
          <w:szCs w:val="16"/>
        </w:rPr>
        <w:t xml:space="preserve"> </w:t>
      </w:r>
      <w:r w:rsidRPr="00647AD9">
        <w:rPr>
          <w:rFonts w:ascii="Arial Narrow" w:eastAsia="Arial Narrow" w:hAnsi="Arial Narrow" w:cs="Arial Narrow"/>
          <w:color w:val="000000"/>
          <w:sz w:val="16"/>
          <w:szCs w:val="16"/>
        </w:rPr>
        <w:t>Ídem.</w:t>
      </w:r>
      <w:r w:rsidRPr="00647AD9">
        <w:rPr>
          <w:color w:val="000000"/>
          <w:sz w:val="16"/>
          <w:szCs w:val="16"/>
        </w:rPr>
        <w:t xml:space="preserve"> </w:t>
      </w:r>
    </w:p>
  </w:footnote>
  <w:footnote w:id="3">
    <w:p w:rsidR="00647AD9" w:rsidRPr="00AE24A2" w:rsidRDefault="00647AD9" w:rsidP="00647AD9">
      <w:pPr>
        <w:pBdr>
          <w:top w:val="nil"/>
          <w:left w:val="nil"/>
          <w:bottom w:val="nil"/>
          <w:right w:val="nil"/>
          <w:between w:val="nil"/>
        </w:pBdr>
        <w:jc w:val="both"/>
        <w:rPr>
          <w:rFonts w:ascii="Arial Narrow" w:eastAsia="Arial Narrow" w:hAnsi="Arial Narrow" w:cs="Arial Narrow"/>
          <w:sz w:val="16"/>
          <w:szCs w:val="16"/>
        </w:rPr>
      </w:pPr>
      <w:r w:rsidRPr="00647AD9">
        <w:rPr>
          <w:sz w:val="16"/>
          <w:szCs w:val="16"/>
          <w:vertAlign w:val="superscript"/>
        </w:rPr>
        <w:footnoteRef/>
      </w:r>
      <w:r w:rsidRPr="00647AD9">
        <w:rPr>
          <w:rFonts w:ascii="Arial Narrow" w:eastAsia="Arial Narrow" w:hAnsi="Arial Narrow" w:cs="Arial Narrow"/>
          <w:color w:val="000000"/>
          <w:sz w:val="16"/>
          <w:szCs w:val="16"/>
        </w:rPr>
        <w:t xml:space="preserve"> ONU (2015) Objetivos de Desarrollo Sostenible. Recuperado el 15 de marzo de 2023, </w:t>
      </w:r>
      <w:r w:rsidRPr="00AE24A2">
        <w:rPr>
          <w:rFonts w:ascii="Arial Narrow" w:eastAsia="Arial Narrow" w:hAnsi="Arial Narrow" w:cs="Arial Narrow"/>
          <w:sz w:val="16"/>
          <w:szCs w:val="16"/>
        </w:rPr>
        <w:t xml:space="preserve">desde: </w:t>
      </w:r>
      <w:hyperlink r:id="rId2">
        <w:r w:rsidRPr="00AE24A2">
          <w:rPr>
            <w:rFonts w:ascii="Arial Narrow" w:eastAsia="Arial Narrow" w:hAnsi="Arial Narrow" w:cs="Arial Narrow"/>
            <w:sz w:val="16"/>
            <w:szCs w:val="16"/>
            <w:u w:val="single"/>
          </w:rPr>
          <w:t>https://www.un.org/sustainabledevelopment/es/development-agenda/</w:t>
        </w:r>
      </w:hyperlink>
      <w:r w:rsidRPr="00AE24A2">
        <w:rPr>
          <w:rFonts w:ascii="Arial Narrow" w:eastAsia="Arial Narrow" w:hAnsi="Arial Narrow" w:cs="Arial Narrow"/>
          <w:sz w:val="16"/>
          <w:szCs w:val="16"/>
        </w:rPr>
        <w:t xml:space="preserve"> </w:t>
      </w:r>
    </w:p>
  </w:footnote>
  <w:footnote w:id="4">
    <w:p w:rsidR="00647AD9" w:rsidRPr="00AE24A2" w:rsidRDefault="00647AD9" w:rsidP="00647AD9">
      <w:pPr>
        <w:pBdr>
          <w:top w:val="nil"/>
          <w:left w:val="nil"/>
          <w:bottom w:val="nil"/>
          <w:right w:val="nil"/>
          <w:between w:val="nil"/>
        </w:pBdr>
        <w:jc w:val="both"/>
        <w:rPr>
          <w:rFonts w:ascii="Arial Narrow" w:eastAsia="Arial Narrow" w:hAnsi="Arial Narrow" w:cs="Arial Narrow"/>
          <w:sz w:val="16"/>
          <w:szCs w:val="16"/>
        </w:rPr>
      </w:pPr>
      <w:r w:rsidRPr="00AE24A2">
        <w:rPr>
          <w:sz w:val="16"/>
          <w:szCs w:val="16"/>
          <w:vertAlign w:val="superscript"/>
        </w:rPr>
        <w:footnoteRef/>
      </w:r>
      <w:r w:rsidRPr="00AE24A2">
        <w:rPr>
          <w:rFonts w:ascii="Arial Narrow" w:eastAsia="Arial Narrow" w:hAnsi="Arial Narrow" w:cs="Arial Narrow"/>
          <w:sz w:val="16"/>
          <w:szCs w:val="16"/>
        </w:rPr>
        <w:t xml:space="preserve"> ONU (2015) Objetivos y metas de desarrollo sostenible. Recuperado el 15 de marzo de 2023, desde: </w:t>
      </w:r>
      <w:hyperlink r:id="rId3">
        <w:r w:rsidRPr="00AE24A2">
          <w:rPr>
            <w:rFonts w:ascii="Arial Narrow" w:eastAsia="Arial Narrow" w:hAnsi="Arial Narrow" w:cs="Arial Narrow"/>
            <w:sz w:val="16"/>
            <w:szCs w:val="16"/>
            <w:u w:val="single"/>
          </w:rPr>
          <w:t>https://www.un.org/sustainabledevelopment/es/sustainable-development-goals/</w:t>
        </w:r>
      </w:hyperlink>
      <w:r w:rsidRPr="00AE24A2">
        <w:rPr>
          <w:rFonts w:ascii="Arial Narrow" w:eastAsia="Arial Narrow" w:hAnsi="Arial Narrow" w:cs="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B75" w:rsidRDefault="00647AD9">
    <w:pPr>
      <w:pStyle w:val="Encabezado"/>
      <w:jc w:val="right"/>
      <w:rPr>
        <w:lang w:val="es-ES"/>
      </w:rPr>
    </w:pPr>
    <w:r>
      <w:rPr>
        <w:noProof/>
      </w:rPr>
      <w:drawing>
        <wp:anchor distT="0" distB="0" distL="114935" distR="114935" simplePos="0" relativeHeight="251659264" behindDoc="1" locked="0" layoutInCell="1" allowOverlap="1">
          <wp:simplePos x="0" y="0"/>
          <wp:positionH relativeFrom="column">
            <wp:posOffset>-1069975</wp:posOffset>
          </wp:positionH>
          <wp:positionV relativeFrom="paragraph">
            <wp:posOffset>-440055</wp:posOffset>
          </wp:positionV>
          <wp:extent cx="7752080" cy="1617980"/>
          <wp:effectExtent l="0" t="0" r="127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161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7B75" w:rsidRDefault="00136056">
    <w:pPr>
      <w:pStyle w:val="Encabezado"/>
      <w:jc w:val="right"/>
      <w:rPr>
        <w:lang w:val="es-ES"/>
      </w:rPr>
    </w:pPr>
  </w:p>
  <w:p w:rsidR="002B7B75" w:rsidRDefault="00136056">
    <w:pPr>
      <w:pStyle w:val="Encabezado"/>
      <w:jc w:val="right"/>
      <w:rPr>
        <w:lang w:val="es-ES"/>
      </w:rPr>
    </w:pPr>
  </w:p>
  <w:p w:rsidR="002B7B75" w:rsidRDefault="00136056">
    <w:pPr>
      <w:pStyle w:val="Encabezado"/>
      <w:jc w:val="right"/>
      <w:rPr>
        <w:rFonts w:ascii="AvantGarde Bk BT" w:hAnsi="AvantGarde Bk BT" w:cs="AvantGarde Bk BT"/>
        <w:lang w:val="es-ES"/>
      </w:rPr>
    </w:pPr>
  </w:p>
  <w:p w:rsidR="002B7B75" w:rsidRDefault="004D7028">
    <w:pPr>
      <w:pStyle w:val="Encabezado"/>
      <w:jc w:val="right"/>
      <w:rPr>
        <w:rFonts w:ascii="AvantGarde Bk BT" w:hAnsi="AvantGarde Bk BT" w:cs="AvantGarde Bk BT"/>
        <w:sz w:val="20"/>
        <w:szCs w:val="20"/>
        <w:lang w:val="es-ES"/>
      </w:rPr>
    </w:pPr>
    <w:r>
      <w:rPr>
        <w:rFonts w:ascii="AvantGarde Bk BT" w:hAnsi="AvantGarde Bk BT" w:cs="AvantGarde Bk BT"/>
        <w:sz w:val="20"/>
        <w:szCs w:val="20"/>
        <w:lang w:val="es-ES"/>
      </w:rPr>
      <w:t>Exp.021</w:t>
    </w:r>
  </w:p>
  <w:p w:rsidR="002B7B75" w:rsidRDefault="004D7028">
    <w:pPr>
      <w:pStyle w:val="Encabezado"/>
      <w:jc w:val="right"/>
    </w:pPr>
    <w:r>
      <w:rPr>
        <w:rFonts w:ascii="AvantGarde Bk BT" w:hAnsi="AvantGarde Bk BT" w:cs="AvantGarde Bk BT"/>
        <w:sz w:val="20"/>
        <w:szCs w:val="20"/>
        <w:lang w:val="es-ES"/>
      </w:rPr>
      <w:t>Dictamen Núm. I/2023/</w:t>
    </w:r>
    <w:r w:rsidR="00AF0DDB">
      <w:rPr>
        <w:rFonts w:ascii="AvantGarde Bk BT" w:hAnsi="AvantGarde Bk BT" w:cs="AvantGarde Bk BT"/>
        <w:sz w:val="20"/>
        <w:szCs w:val="20"/>
        <w:lang w:val="es-ES"/>
      </w:rPr>
      <w:t>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00EB7"/>
    <w:multiLevelType w:val="hybridMultilevel"/>
    <w:tmpl w:val="4F04C85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60304B"/>
    <w:multiLevelType w:val="hybridMultilevel"/>
    <w:tmpl w:val="BF1E8CAC"/>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E21993"/>
    <w:multiLevelType w:val="hybridMultilevel"/>
    <w:tmpl w:val="F028D742"/>
    <w:lvl w:ilvl="0" w:tplc="956CB7A0">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071CCD"/>
    <w:multiLevelType w:val="hybridMultilevel"/>
    <w:tmpl w:val="5FD4CE18"/>
    <w:lvl w:ilvl="0" w:tplc="F25A04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F3F67"/>
    <w:multiLevelType w:val="hybridMultilevel"/>
    <w:tmpl w:val="4F76EAF4"/>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D096538"/>
    <w:multiLevelType w:val="multilevel"/>
    <w:tmpl w:val="C6BA7166"/>
    <w:lvl w:ilvl="0">
      <w:start w:val="1"/>
      <w:numFmt w:val="decimal"/>
      <w:pStyle w:val="Apartadolistaguiones"/>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2EA70335"/>
    <w:multiLevelType w:val="multilevel"/>
    <w:tmpl w:val="4940AC4C"/>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2B64A7"/>
    <w:multiLevelType w:val="hybridMultilevel"/>
    <w:tmpl w:val="6BFAB4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492AE4"/>
    <w:multiLevelType w:val="hybridMultilevel"/>
    <w:tmpl w:val="37400F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8560FB"/>
    <w:multiLevelType w:val="hybridMultilevel"/>
    <w:tmpl w:val="A89E66D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A484210"/>
    <w:multiLevelType w:val="hybridMultilevel"/>
    <w:tmpl w:val="4D726A7C"/>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22607C4"/>
    <w:multiLevelType w:val="multilevel"/>
    <w:tmpl w:val="A072BFFE"/>
    <w:lvl w:ilvl="0">
      <w:start w:val="1"/>
      <w:numFmt w:val="upperRoman"/>
      <w:pStyle w:val="Apartadotema"/>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22D2322"/>
    <w:multiLevelType w:val="multilevel"/>
    <w:tmpl w:val="13585ADA"/>
    <w:lvl w:ilvl="0">
      <w:start w:val="1"/>
      <w:numFmt w:val="decimal"/>
      <w:lvlText w:val="%1."/>
      <w:lvlJc w:val="left"/>
      <w:pPr>
        <w:ind w:left="360" w:hanging="360"/>
      </w:pPr>
      <w:rPr>
        <w:b/>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F072270"/>
    <w:multiLevelType w:val="hybridMultilevel"/>
    <w:tmpl w:val="2076D06A"/>
    <w:lvl w:ilvl="0" w:tplc="052230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C2EB3"/>
    <w:multiLevelType w:val="hybridMultilevel"/>
    <w:tmpl w:val="9E627E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9"/>
  </w:num>
  <w:num w:numId="5">
    <w:abstractNumId w:val="14"/>
  </w:num>
  <w:num w:numId="6">
    <w:abstractNumId w:val="4"/>
  </w:num>
  <w:num w:numId="7">
    <w:abstractNumId w:val="5"/>
  </w:num>
  <w:num w:numId="8">
    <w:abstractNumId w:val="8"/>
  </w:num>
  <w:num w:numId="9">
    <w:abstractNumId w:val="10"/>
  </w:num>
  <w:num w:numId="10">
    <w:abstractNumId w:val="1"/>
  </w:num>
  <w:num w:numId="11">
    <w:abstractNumId w:val="2"/>
  </w:num>
  <w:num w:numId="12">
    <w:abstractNumId w:val="11"/>
  </w:num>
  <w:num w:numId="13">
    <w:abstractNumId w:val="12"/>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D9"/>
    <w:rsid w:val="00066CDD"/>
    <w:rsid w:val="00136056"/>
    <w:rsid w:val="00190906"/>
    <w:rsid w:val="001E2936"/>
    <w:rsid w:val="00322BE9"/>
    <w:rsid w:val="00396F41"/>
    <w:rsid w:val="004D7028"/>
    <w:rsid w:val="00647AD9"/>
    <w:rsid w:val="006A66F7"/>
    <w:rsid w:val="0082237B"/>
    <w:rsid w:val="00832871"/>
    <w:rsid w:val="0090428A"/>
    <w:rsid w:val="0092742B"/>
    <w:rsid w:val="00A04762"/>
    <w:rsid w:val="00AE24A2"/>
    <w:rsid w:val="00AF0DDB"/>
    <w:rsid w:val="00AF166C"/>
    <w:rsid w:val="00E2150A"/>
    <w:rsid w:val="00E642F1"/>
    <w:rsid w:val="00E9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210D6"/>
  <w15:chartTrackingRefBased/>
  <w15:docId w15:val="{88C9216B-1852-4582-AB33-881D0D62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AD9"/>
    <w:pPr>
      <w:widowControl w:val="0"/>
      <w:suppressAutoHyphens/>
      <w:spacing w:after="0" w:line="240" w:lineRule="auto"/>
    </w:pPr>
    <w:rPr>
      <w:rFonts w:ascii="Times New Roman" w:eastAsia="Times New Roman" w:hAnsi="Times New Roman" w:cs="Times New Roman"/>
      <w:sz w:val="24"/>
      <w:szCs w:val="24"/>
      <w:lang w:val="es-MX" w:eastAsia="ar-SA"/>
    </w:rPr>
  </w:style>
  <w:style w:type="paragraph" w:styleId="Ttulo1">
    <w:name w:val="heading 1"/>
    <w:basedOn w:val="Normal"/>
    <w:next w:val="Normal"/>
    <w:link w:val="Ttulo1Car"/>
    <w:qFormat/>
    <w:rsid w:val="00647AD9"/>
    <w:pPr>
      <w:keepNext/>
      <w:numPr>
        <w:numId w:val="1"/>
      </w:numPr>
      <w:jc w:val="right"/>
      <w:outlineLvl w:val="0"/>
    </w:pPr>
    <w:rPr>
      <w:rFonts w:ascii="Arial" w:hAnsi="Arial" w:cs="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7AD9"/>
    <w:rPr>
      <w:rFonts w:ascii="Arial" w:eastAsia="Times New Roman" w:hAnsi="Arial" w:cs="Arial"/>
      <w:b/>
      <w:sz w:val="20"/>
      <w:szCs w:val="20"/>
      <w:lang w:val="es-ES_tradnl" w:eastAsia="ar-SA"/>
    </w:rPr>
  </w:style>
  <w:style w:type="paragraph" w:styleId="Textoindependiente">
    <w:name w:val="Body Text"/>
    <w:basedOn w:val="Normal"/>
    <w:link w:val="TextoindependienteCar"/>
    <w:rsid w:val="00647AD9"/>
    <w:pPr>
      <w:spacing w:after="120"/>
    </w:pPr>
    <w:rPr>
      <w:lang w:val="x-none"/>
    </w:rPr>
  </w:style>
  <w:style w:type="character" w:customStyle="1" w:styleId="TextoindependienteCar">
    <w:name w:val="Texto independiente Car"/>
    <w:basedOn w:val="Fuentedeprrafopredeter"/>
    <w:link w:val="Textoindependiente"/>
    <w:rsid w:val="00647AD9"/>
    <w:rPr>
      <w:rFonts w:ascii="Times New Roman" w:eastAsia="Times New Roman" w:hAnsi="Times New Roman" w:cs="Times New Roman"/>
      <w:sz w:val="24"/>
      <w:szCs w:val="24"/>
      <w:lang w:val="x-none" w:eastAsia="ar-SA"/>
    </w:rPr>
  </w:style>
  <w:style w:type="paragraph" w:styleId="Encabezado">
    <w:name w:val="header"/>
    <w:basedOn w:val="Normal"/>
    <w:link w:val="EncabezadoCar"/>
    <w:rsid w:val="00647AD9"/>
  </w:style>
  <w:style w:type="character" w:customStyle="1" w:styleId="EncabezadoCar">
    <w:name w:val="Encabezado Car"/>
    <w:basedOn w:val="Fuentedeprrafopredeter"/>
    <w:link w:val="Encabezado"/>
    <w:rsid w:val="00647AD9"/>
    <w:rPr>
      <w:rFonts w:ascii="Times New Roman" w:eastAsia="Times New Roman" w:hAnsi="Times New Roman" w:cs="Times New Roman"/>
      <w:sz w:val="24"/>
      <w:szCs w:val="24"/>
      <w:lang w:val="es-MX" w:eastAsia="ar-SA"/>
    </w:rPr>
  </w:style>
  <w:style w:type="paragraph" w:styleId="Piedepgina">
    <w:name w:val="footer"/>
    <w:basedOn w:val="Normal"/>
    <w:link w:val="PiedepginaCar"/>
    <w:rsid w:val="00647AD9"/>
  </w:style>
  <w:style w:type="character" w:customStyle="1" w:styleId="PiedepginaCar">
    <w:name w:val="Pie de página Car"/>
    <w:basedOn w:val="Fuentedeprrafopredeter"/>
    <w:link w:val="Piedepgina"/>
    <w:rsid w:val="00647AD9"/>
    <w:rPr>
      <w:rFonts w:ascii="Times New Roman" w:eastAsia="Times New Roman" w:hAnsi="Times New Roman" w:cs="Times New Roman"/>
      <w:sz w:val="24"/>
      <w:szCs w:val="24"/>
      <w:lang w:val="es-MX" w:eastAsia="ar-SA"/>
    </w:rPr>
  </w:style>
  <w:style w:type="paragraph" w:customStyle="1" w:styleId="tit2">
    <w:name w:val="tit2"/>
    <w:basedOn w:val="Normal"/>
    <w:rsid w:val="00647AD9"/>
    <w:pPr>
      <w:jc w:val="both"/>
    </w:pPr>
    <w:rPr>
      <w:rFonts w:ascii="Arial" w:hAnsi="Arial" w:cs="Arial"/>
      <w:szCs w:val="20"/>
      <w:lang w:val="es-ES"/>
    </w:rPr>
  </w:style>
  <w:style w:type="paragraph" w:customStyle="1" w:styleId="Listavistosa-nfasis11">
    <w:name w:val="Lista vistosa - Énfasis 11"/>
    <w:basedOn w:val="Normal"/>
    <w:rsid w:val="00647AD9"/>
    <w:pPr>
      <w:ind w:left="708"/>
    </w:p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647AD9"/>
    <w:pPr>
      <w:ind w:left="720"/>
    </w:pPr>
  </w:style>
  <w:style w:type="paragraph" w:styleId="Textonotapie">
    <w:name w:val="footnote text"/>
    <w:basedOn w:val="Normal"/>
    <w:link w:val="TextonotapieCar"/>
    <w:uiPriority w:val="99"/>
    <w:semiHidden/>
    <w:unhideWhenUsed/>
    <w:rsid w:val="00647AD9"/>
    <w:rPr>
      <w:sz w:val="20"/>
      <w:szCs w:val="20"/>
    </w:rPr>
  </w:style>
  <w:style w:type="character" w:customStyle="1" w:styleId="TextonotapieCar">
    <w:name w:val="Texto nota pie Car"/>
    <w:basedOn w:val="Fuentedeprrafopredeter"/>
    <w:link w:val="Textonotapie"/>
    <w:uiPriority w:val="99"/>
    <w:semiHidden/>
    <w:rsid w:val="00647AD9"/>
    <w:rPr>
      <w:rFonts w:ascii="Times New Roman" w:eastAsia="Times New Roman" w:hAnsi="Times New Roman" w:cs="Times New Roman"/>
      <w:sz w:val="20"/>
      <w:szCs w:val="20"/>
      <w:lang w:val="es-MX" w:eastAsia="ar-SA"/>
    </w:rPr>
  </w:style>
  <w:style w:type="character" w:styleId="Refdenotaalpie">
    <w:name w:val="footnote reference"/>
    <w:uiPriority w:val="99"/>
    <w:semiHidden/>
    <w:unhideWhenUsed/>
    <w:rsid w:val="00647AD9"/>
    <w:rPr>
      <w:vertAlign w:val="superscript"/>
    </w:rPr>
  </w:style>
  <w:style w:type="paragraph" w:customStyle="1" w:styleId="Apartadotema">
    <w:name w:val="Apartado tema"/>
    <w:basedOn w:val="Normal"/>
    <w:next w:val="Normal"/>
    <w:rsid w:val="00647AD9"/>
    <w:pPr>
      <w:keepNext/>
      <w:keepLines/>
      <w:numPr>
        <w:numId w:val="13"/>
      </w:numPr>
      <w:pBdr>
        <w:top w:val="nil"/>
        <w:left w:val="nil"/>
        <w:bottom w:val="nil"/>
        <w:right w:val="nil"/>
        <w:between w:val="nil"/>
      </w:pBdr>
      <w:suppressAutoHyphens w:val="0"/>
      <w:autoSpaceDE w:val="0"/>
      <w:autoSpaceDN w:val="0"/>
      <w:adjustRightInd w:val="0"/>
      <w:spacing w:before="240"/>
      <w:jc w:val="both"/>
    </w:pPr>
    <w:rPr>
      <w:i/>
      <w:iCs/>
      <w:color w:val="000000"/>
      <w:lang w:val="es-ES_tradnl" w:eastAsia="es-ES"/>
    </w:rPr>
  </w:style>
  <w:style w:type="paragraph" w:customStyle="1" w:styleId="Apartadolistaguiones">
    <w:name w:val="Apartado lista guiones"/>
    <w:basedOn w:val="Normal"/>
    <w:rsid w:val="00647AD9"/>
    <w:pPr>
      <w:numPr>
        <w:numId w:val="14"/>
      </w:numPr>
      <w:pBdr>
        <w:top w:val="nil"/>
        <w:left w:val="nil"/>
        <w:bottom w:val="nil"/>
        <w:right w:val="nil"/>
        <w:between w:val="nil"/>
      </w:pBdr>
      <w:suppressAutoHyphens w:val="0"/>
      <w:autoSpaceDE w:val="0"/>
      <w:autoSpaceDN w:val="0"/>
      <w:adjustRightInd w:val="0"/>
      <w:spacing w:before="120"/>
      <w:jc w:val="both"/>
    </w:pPr>
    <w:rPr>
      <w:iCs/>
      <w:color w:val="000000"/>
      <w:sz w:val="20"/>
      <w:lang w:val="es-ES_tradnl" w:eastAsia="es-ES"/>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647AD9"/>
    <w:rPr>
      <w:rFonts w:ascii="Times New Roman" w:eastAsia="Times New Roman" w:hAnsi="Times New Roman" w:cs="Times New Roman"/>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es/sustainable-development-goals/" TargetMode="External"/><Relationship Id="rId2" Type="http://schemas.openxmlformats.org/officeDocument/2006/relationships/hyperlink" Target="https://www.un.org/sustainabledevelopment/es/development-agenda/" TargetMode="External"/><Relationship Id="rId1" Type="http://schemas.openxmlformats.org/officeDocument/2006/relationships/hyperlink" Target="https://cgpe.udg.mx/planeacion/plan-de-desarrollo-institucional-2019-2025-vision-2030-tradicion-y-camb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4018</Words>
  <Characters>22101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2023-07-05T17:12:00Z</dcterms:created>
  <dcterms:modified xsi:type="dcterms:W3CDTF">2023-07-07T18:25:00Z</dcterms:modified>
</cp:coreProperties>
</file>