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17" w:rsidRPr="001077BC" w:rsidRDefault="00B50417" w:rsidP="00B50417">
      <w:pPr>
        <w:ind w:left="0" w:hanging="2"/>
        <w:rPr>
          <w:rFonts w:ascii="Arial" w:hAnsi="Arial" w:cs="Arial"/>
          <w:b/>
          <w:color w:val="000000" w:themeColor="text1"/>
        </w:rPr>
      </w:pPr>
    </w:p>
    <w:p w:rsidR="00354A6E" w:rsidRDefault="00354A6E" w:rsidP="00B50417">
      <w:pPr>
        <w:ind w:left="0" w:hanging="2"/>
        <w:jc w:val="both"/>
        <w:rPr>
          <w:rFonts w:ascii="AvantGarde Bk BT" w:hAnsi="AvantGarde Bk BT" w:cs="Arial"/>
          <w:b/>
          <w:color w:val="000000" w:themeColor="text1"/>
        </w:rPr>
      </w:pPr>
    </w:p>
    <w:p w:rsidR="00B50417" w:rsidRPr="000723B0" w:rsidRDefault="00B50417" w:rsidP="00B50417">
      <w:pPr>
        <w:ind w:left="0" w:hanging="2"/>
        <w:jc w:val="both"/>
        <w:rPr>
          <w:rFonts w:ascii="AvantGarde Bk BT" w:hAnsi="AvantGarde Bk BT" w:cs="Arial"/>
          <w:b/>
          <w:color w:val="000000" w:themeColor="text1"/>
        </w:rPr>
      </w:pPr>
      <w:r w:rsidRPr="000723B0">
        <w:rPr>
          <w:rFonts w:ascii="AvantGarde Bk BT" w:hAnsi="AvantGarde Bk BT" w:cs="Arial"/>
          <w:b/>
          <w:color w:val="000000" w:themeColor="text1"/>
        </w:rPr>
        <w:t>H. CONSEJO GENERAL UNIVERSITARIO</w:t>
      </w:r>
    </w:p>
    <w:p w:rsidR="00B50417" w:rsidRPr="000723B0" w:rsidRDefault="00B50417" w:rsidP="00B50417">
      <w:pPr>
        <w:ind w:left="0" w:hanging="2"/>
        <w:jc w:val="both"/>
        <w:rPr>
          <w:rFonts w:ascii="AvantGarde Bk BT" w:hAnsi="AvantGarde Bk BT" w:cs="Arial"/>
          <w:color w:val="000000" w:themeColor="text1"/>
        </w:rPr>
      </w:pPr>
      <w:r w:rsidRPr="000723B0">
        <w:rPr>
          <w:rFonts w:ascii="AvantGarde Bk BT" w:hAnsi="AvantGarde Bk BT" w:cs="Arial"/>
          <w:color w:val="000000" w:themeColor="text1"/>
        </w:rPr>
        <w:t>Presente</w:t>
      </w:r>
    </w:p>
    <w:p w:rsidR="00B50417" w:rsidRPr="000723B0" w:rsidRDefault="00B50417" w:rsidP="00B50417">
      <w:pPr>
        <w:ind w:left="0" w:hanging="2"/>
        <w:jc w:val="both"/>
        <w:rPr>
          <w:rFonts w:ascii="AvantGarde Bk BT" w:hAnsi="AvantGarde Bk BT" w:cs="Arial"/>
          <w:color w:val="000000" w:themeColor="text1"/>
        </w:rPr>
      </w:pPr>
    </w:p>
    <w:p w:rsidR="00B50417" w:rsidRPr="000723B0" w:rsidRDefault="00B50417" w:rsidP="00B50417">
      <w:pPr>
        <w:ind w:left="0" w:hanging="2"/>
        <w:jc w:val="both"/>
        <w:rPr>
          <w:rFonts w:ascii="AvantGarde Bk BT" w:eastAsia="Questrial" w:hAnsi="AvantGarde Bk BT" w:cs="Arial"/>
          <w:color w:val="000000" w:themeColor="text1"/>
        </w:rPr>
      </w:pPr>
      <w:r w:rsidRPr="000723B0">
        <w:rPr>
          <w:rFonts w:ascii="AvantGarde Bk BT" w:hAnsi="AvantGarde Bk BT" w:cs="Arial"/>
          <w:color w:val="000000" w:themeColor="text1"/>
        </w:rPr>
        <w:t xml:space="preserve">A estas Comisiones Permanentes Conjuntas de Educación y de Normatividad, </w:t>
      </w:r>
      <w:r w:rsidRPr="000723B0">
        <w:rPr>
          <w:rFonts w:ascii="AvantGarde Bk BT" w:eastAsia="Questrial" w:hAnsi="AvantGarde Bk BT" w:cs="Arial"/>
          <w:color w:val="000000" w:themeColor="text1"/>
        </w:rPr>
        <w:t xml:space="preserve">ha sido turnada por el Rector General de esta Casa de Estudios una propuesta que plantea </w:t>
      </w:r>
      <w:r w:rsidRPr="000723B0">
        <w:rPr>
          <w:rFonts w:ascii="AvantGarde Bk BT" w:hAnsi="AvantGarde Bk BT" w:cs="Arial"/>
          <w:color w:val="000000" w:themeColor="text1"/>
        </w:rPr>
        <w:t>la transformación de los Centros Universitarios Temáticos a Centros Universitarios Regionales</w:t>
      </w:r>
      <w:r w:rsidRPr="000723B0">
        <w:rPr>
          <w:rFonts w:ascii="AvantGarde Bk BT" w:eastAsia="Questrial" w:hAnsi="AvantGarde Bk BT" w:cs="Arial"/>
          <w:color w:val="000000" w:themeColor="text1"/>
        </w:rPr>
        <w:t>, conforme a los siguientes:</w:t>
      </w:r>
    </w:p>
    <w:p w:rsidR="00B50417" w:rsidRPr="000723B0" w:rsidRDefault="00B50417" w:rsidP="00B50417">
      <w:pPr>
        <w:pBdr>
          <w:top w:val="nil"/>
          <w:left w:val="nil"/>
          <w:bottom w:val="nil"/>
          <w:right w:val="nil"/>
          <w:between w:val="nil"/>
        </w:pBdr>
        <w:spacing w:line="240" w:lineRule="auto"/>
        <w:ind w:left="0" w:hanging="2"/>
        <w:jc w:val="both"/>
        <w:rPr>
          <w:rFonts w:ascii="AvantGarde Bk BT" w:eastAsia="Arial" w:hAnsi="AvantGarde Bk BT" w:cs="Arial"/>
          <w:color w:val="000000" w:themeColor="text1"/>
        </w:rPr>
      </w:pPr>
    </w:p>
    <w:p w:rsidR="00B50417" w:rsidRPr="000723B0" w:rsidRDefault="00B50417" w:rsidP="00B50417">
      <w:pPr>
        <w:pBdr>
          <w:top w:val="nil"/>
          <w:left w:val="nil"/>
          <w:bottom w:val="nil"/>
          <w:right w:val="nil"/>
          <w:between w:val="nil"/>
        </w:pBdr>
        <w:spacing w:line="240" w:lineRule="auto"/>
        <w:ind w:left="0" w:hanging="2"/>
        <w:jc w:val="both"/>
        <w:rPr>
          <w:rFonts w:ascii="AvantGarde Bk BT" w:eastAsia="Arial" w:hAnsi="AvantGarde Bk BT" w:cs="Arial"/>
          <w:color w:val="000000" w:themeColor="text1"/>
        </w:rPr>
      </w:pPr>
    </w:p>
    <w:p w:rsidR="00B50417" w:rsidRPr="000723B0" w:rsidRDefault="00B50417" w:rsidP="00B50417">
      <w:pPr>
        <w:ind w:left="0" w:hanging="2"/>
        <w:jc w:val="center"/>
        <w:rPr>
          <w:rFonts w:ascii="AvantGarde Bk BT" w:hAnsi="AvantGarde Bk BT" w:cs="Arial"/>
          <w:b/>
          <w:color w:val="000000" w:themeColor="text1"/>
          <w:lang w:val="es-MX"/>
        </w:rPr>
      </w:pPr>
      <w:r w:rsidRPr="000723B0">
        <w:rPr>
          <w:rFonts w:ascii="AvantGarde Bk BT" w:hAnsi="AvantGarde Bk BT" w:cs="Arial"/>
          <w:b/>
          <w:color w:val="000000" w:themeColor="text1"/>
          <w:lang w:val="es-MX"/>
        </w:rPr>
        <w:t>ANTECEDENTES</w:t>
      </w:r>
    </w:p>
    <w:p w:rsidR="00B50417" w:rsidRPr="000723B0" w:rsidRDefault="00B50417" w:rsidP="001077BC">
      <w:pPr>
        <w:ind w:leftChars="0" w:left="0" w:firstLineChars="0" w:firstLine="0"/>
        <w:rPr>
          <w:rFonts w:ascii="AvantGarde Bk BT" w:hAnsi="AvantGarde Bk BT" w:cs="Arial"/>
          <w:b/>
          <w:color w:val="000000" w:themeColor="text1"/>
          <w:lang w:val="en-US"/>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Desde 2019 la Universidad de Guadalajara vive un proceso de cambio cuyo objetivo es responder de manera más efectiva a las problemáticas sociales de su comunidad universitaria.</w:t>
      </w:r>
      <w:r w:rsidRPr="000723B0">
        <w:rPr>
          <w:rStyle w:val="Refdenotaalpie"/>
          <w:rFonts w:ascii="AvantGarde Bk BT" w:hAnsi="AvantGarde Bk BT" w:cs="Arial"/>
          <w:color w:val="000000" w:themeColor="text1"/>
        </w:rPr>
        <w:footnoteReference w:id="1"/>
      </w:r>
      <w:r w:rsidRPr="000723B0">
        <w:rPr>
          <w:rFonts w:ascii="AvantGarde Bk BT" w:hAnsi="AvantGarde Bk BT" w:cs="Arial"/>
          <w:color w:val="000000" w:themeColor="text1"/>
        </w:rPr>
        <w:t xml:space="preserve"> Lo anterior deriva de la reflexión sobre el actual modelo educativo y su transformación a uno capaz de atender las realidades de un mundo cada vez más complejo, incierto y frágil,</w:t>
      </w:r>
      <w:r w:rsidRPr="000723B0">
        <w:rPr>
          <w:rFonts w:ascii="AvantGarde Bk BT" w:hAnsi="AvantGarde Bk BT"/>
          <w:color w:val="000000" w:themeColor="text1"/>
        </w:rPr>
        <w:t xml:space="preserve"> </w:t>
      </w:r>
      <w:r w:rsidRPr="000723B0">
        <w:rPr>
          <w:rFonts w:ascii="AvantGarde Bk BT" w:hAnsi="AvantGarde Bk BT" w:cs="Arial"/>
          <w:color w:val="000000" w:themeColor="text1"/>
        </w:rPr>
        <w:t>desde una perspectiva amplia, colectiva y de futuro.</w:t>
      </w:r>
      <w:r w:rsidRPr="000723B0">
        <w:rPr>
          <w:rStyle w:val="Refdenotaalpie"/>
          <w:rFonts w:ascii="AvantGarde Bk BT" w:hAnsi="AvantGarde Bk BT" w:cs="Arial"/>
          <w:color w:val="000000" w:themeColor="text1"/>
        </w:rPr>
        <w:footnoteReference w:id="2"/>
      </w:r>
    </w:p>
    <w:p w:rsidR="00B50417" w:rsidRPr="000723B0" w:rsidRDefault="00B50417" w:rsidP="00B50417">
      <w:pPr>
        <w:spacing w:line="240" w:lineRule="auto"/>
        <w:ind w:left="0" w:hanging="2"/>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Pensar en futuro implica trabajar en generar una realidad diferente. No desde una visión utópica, sino desde modificaciones innovadoras concatenadas que se materialicen en mejores condiciones educativas para las generaciones de estudiantes actuales y las que están por venir.</w:t>
      </w:r>
      <w:r w:rsidRPr="000723B0">
        <w:rPr>
          <w:rStyle w:val="Refdenotaalpie"/>
          <w:rFonts w:ascii="AvantGarde Bk BT" w:hAnsi="AvantGarde Bk BT" w:cs="Arial"/>
          <w:color w:val="000000" w:themeColor="text1"/>
        </w:rPr>
        <w:footnoteReference w:id="3"/>
      </w:r>
      <w:r w:rsidRPr="000723B0">
        <w:rPr>
          <w:rFonts w:ascii="AvantGarde Bk BT" w:hAnsi="AvantGarde Bk BT" w:cs="Arial"/>
          <w:color w:val="000000" w:themeColor="text1"/>
        </w:rPr>
        <w:t xml:space="preserve"> </w:t>
      </w:r>
    </w:p>
    <w:p w:rsidR="00B50417" w:rsidRPr="000723B0" w:rsidRDefault="00B50417" w:rsidP="00B50417">
      <w:pPr>
        <w:spacing w:line="240" w:lineRule="auto"/>
        <w:ind w:left="0" w:hanging="2"/>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 xml:space="preserve">La crisis por COVID-19 y sus afectaciones en distintos sectores, particularmente en el sector educativo, reafirma la urgencia de innovar y transformar las dinámicas institucionales para hacer frente a situaciones globales de tal complejidad. </w:t>
      </w:r>
    </w:p>
    <w:p w:rsidR="00354A6E" w:rsidRDefault="00354A6E">
      <w:pPr>
        <w:suppressAutoHyphens w:val="0"/>
        <w:spacing w:line="240" w:lineRule="auto"/>
        <w:ind w:leftChars="0" w:left="0" w:firstLineChars="0" w:firstLine="0"/>
        <w:textDirection w:val="lrTb"/>
        <w:textAlignment w:val="auto"/>
        <w:outlineLvl w:val="9"/>
        <w:rPr>
          <w:rFonts w:ascii="AvantGarde Bk BT" w:hAnsi="AvantGarde Bk BT" w:cs="Arial"/>
          <w:color w:val="000000" w:themeColor="text1"/>
        </w:rPr>
      </w:pPr>
      <w:r>
        <w:rPr>
          <w:rFonts w:ascii="AvantGarde Bk BT" w:hAnsi="AvantGarde Bk BT" w:cs="Arial"/>
          <w:color w:val="000000" w:themeColor="text1"/>
        </w:rPr>
        <w:br w:type="page"/>
      </w:r>
    </w:p>
    <w:p w:rsidR="00B50417" w:rsidRPr="00E31DB8"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 xml:space="preserve">Se vuelve necesaria la creación de ecosistemas educativos innovadores orientados a desarrollar habilidades del alumno de trabajar en colectivo, aprender a adaptarse a entornos cambiantes y analizar los distintos escenarios desde una óptica transdisciplinar, </w:t>
      </w:r>
      <w:r w:rsidRPr="00E31DB8">
        <w:rPr>
          <w:rFonts w:ascii="AvantGarde Bk BT" w:hAnsi="AvantGarde Bk BT" w:cs="Arial"/>
          <w:color w:val="000000" w:themeColor="text1"/>
        </w:rPr>
        <w:t>esta última entendida como el abordaje crítico y ampliado de colaboración e integración de saberes, que rompe con cánones disciplinares reduccionistas.</w:t>
      </w:r>
      <w:r w:rsidRPr="00E31DB8">
        <w:rPr>
          <w:rStyle w:val="Refdenotaalpie"/>
          <w:rFonts w:ascii="AvantGarde Bk BT" w:hAnsi="AvantGarde Bk BT" w:cs="Arial"/>
          <w:color w:val="000000" w:themeColor="text1"/>
        </w:rPr>
        <w:footnoteReference w:id="4"/>
      </w:r>
    </w:p>
    <w:p w:rsidR="00B50417" w:rsidRPr="00E31DB8" w:rsidRDefault="00B50417" w:rsidP="00B50417">
      <w:pPr>
        <w:spacing w:line="240" w:lineRule="auto"/>
        <w:ind w:left="0" w:hanging="2"/>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Para las instituciones educativas resulta fundamental adoptar una metodología transversal que capte la riqueza de la interacción entre diferentes disciplinas particulares</w:t>
      </w:r>
      <w:r w:rsidRPr="000723B0">
        <w:rPr>
          <w:rFonts w:ascii="AvantGarde Bk BT" w:hAnsi="AvantGarde Bk BT"/>
          <w:color w:val="000000" w:themeColor="text1"/>
        </w:rPr>
        <w:t xml:space="preserve"> </w:t>
      </w:r>
      <w:r w:rsidRPr="000723B0">
        <w:rPr>
          <w:rFonts w:ascii="AvantGarde Bk BT" w:hAnsi="AvantGarde Bk BT" w:cs="Arial"/>
          <w:color w:val="000000" w:themeColor="text1"/>
        </w:rPr>
        <w:t>ligando las múltiples vertientes de la ciencia.</w:t>
      </w:r>
      <w:r w:rsidRPr="000723B0">
        <w:rPr>
          <w:rStyle w:val="Refdenotaalpie"/>
          <w:rFonts w:ascii="AvantGarde Bk BT" w:hAnsi="AvantGarde Bk BT" w:cs="Arial"/>
          <w:color w:val="000000" w:themeColor="text1"/>
        </w:rPr>
        <w:footnoteReference w:id="5"/>
      </w:r>
      <w:r w:rsidRPr="000723B0">
        <w:rPr>
          <w:rFonts w:ascii="AvantGarde Bk BT" w:hAnsi="AvantGarde Bk BT" w:cs="Arial"/>
          <w:color w:val="000000" w:themeColor="text1"/>
        </w:rPr>
        <w:t xml:space="preserve"> No abandonando el conocimiento de las partes por el de totalidades, sino comprendiendo que ambos van de la mano y permiten una concepción más integra del tema que se aborde.</w:t>
      </w:r>
      <w:r w:rsidRPr="000723B0">
        <w:rPr>
          <w:rStyle w:val="Refdenotaalpie"/>
          <w:rFonts w:ascii="AvantGarde Bk BT" w:hAnsi="AvantGarde Bk BT" w:cs="Arial"/>
          <w:color w:val="000000" w:themeColor="text1"/>
        </w:rPr>
        <w:footnoteReference w:id="6"/>
      </w:r>
    </w:p>
    <w:p w:rsidR="00B50417" w:rsidRPr="000723B0" w:rsidRDefault="00B50417" w:rsidP="00B50417">
      <w:pPr>
        <w:spacing w:line="240" w:lineRule="auto"/>
        <w:ind w:left="0" w:hanging="2"/>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Las universidades como nodos del conocimiento, no solo son espacios físicos donde se imparten clases, “son también sitios donde podemos conocer a personas diferentes a nosotros mismos, de las que aprendemos y con las que aprendemos, y que amplían nuestra comprensión de las distintas maneras de manifestar nuestra condición humana”.</w:t>
      </w:r>
      <w:r w:rsidRPr="000723B0">
        <w:rPr>
          <w:rStyle w:val="Refdenotaalpie"/>
          <w:rFonts w:ascii="AvantGarde Bk BT" w:hAnsi="AvantGarde Bk BT" w:cs="Arial"/>
          <w:color w:val="000000" w:themeColor="text1"/>
        </w:rPr>
        <w:footnoteReference w:id="7"/>
      </w:r>
      <w:r w:rsidRPr="000723B0">
        <w:rPr>
          <w:rFonts w:ascii="AvantGarde Bk BT" w:hAnsi="AvantGarde Bk BT" w:cs="Arial"/>
          <w:color w:val="000000" w:themeColor="text1"/>
        </w:rPr>
        <w:t xml:space="preserve"> </w:t>
      </w:r>
    </w:p>
    <w:p w:rsidR="00B50417" w:rsidRPr="000723B0" w:rsidRDefault="00B50417" w:rsidP="00B50417">
      <w:pPr>
        <w:pStyle w:val="Prrafodelista"/>
        <w:ind w:left="0" w:hanging="2"/>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 xml:space="preserve">La visión de transformar la Universidad de Guadalajara en una Red Universitaria en 1994 es una de las obras de mayor trascendencia en la historia de México pues ha permitido a cientos de miles de jóvenes estudiar desde sus municipios y regiones sin tener que trasladarse a la capital de la entidad. </w:t>
      </w:r>
    </w:p>
    <w:p w:rsidR="00B50417" w:rsidRPr="000723B0" w:rsidRDefault="00B50417" w:rsidP="00B50417">
      <w:pPr>
        <w:spacing w:line="240" w:lineRule="auto"/>
        <w:ind w:leftChars="0" w:left="0" w:firstLineChars="0" w:firstLine="0"/>
        <w:jc w:val="both"/>
        <w:rPr>
          <w:rFonts w:ascii="AvantGarde Bk BT" w:hAnsi="AvantGarde Bk BT" w:cs="Arial"/>
          <w:color w:val="000000" w:themeColor="text1"/>
        </w:rPr>
      </w:pPr>
    </w:p>
    <w:p w:rsidR="00B50417" w:rsidRPr="000723B0" w:rsidRDefault="00B50417" w:rsidP="00B50417">
      <w:pPr>
        <w:numPr>
          <w:ilvl w:val="0"/>
          <w:numId w:val="1"/>
        </w:numPr>
        <w:spacing w:line="240" w:lineRule="auto"/>
        <w:ind w:leftChars="119" w:left="708" w:hangingChars="176" w:hanging="422"/>
        <w:jc w:val="both"/>
        <w:rPr>
          <w:rFonts w:ascii="AvantGarde Bk BT" w:hAnsi="AvantGarde Bk BT" w:cs="Arial"/>
          <w:color w:val="000000" w:themeColor="text1"/>
        </w:rPr>
      </w:pPr>
      <w:r w:rsidRPr="000723B0">
        <w:rPr>
          <w:rFonts w:ascii="AvantGarde Bk BT" w:hAnsi="AvantGarde Bk BT" w:cs="Arial"/>
          <w:color w:val="000000" w:themeColor="text1"/>
        </w:rPr>
        <w:t xml:space="preserve">La Red Universitaria de Jalisco nace en 1994 producto de un amplio debate de la comunidad universitaria con la visión de llevar la educación media superior y superior a todos los jóvenes del estado de Jalisco. </w:t>
      </w:r>
    </w:p>
    <w:p w:rsidR="00B50417" w:rsidRPr="000723B0" w:rsidRDefault="00B50417" w:rsidP="00B50417">
      <w:pPr>
        <w:spacing w:line="240" w:lineRule="auto"/>
        <w:ind w:leftChars="0" w:left="708" w:firstLineChars="0" w:firstLine="0"/>
        <w:jc w:val="both"/>
        <w:rPr>
          <w:rFonts w:ascii="AvantGarde Bk BT" w:hAnsi="AvantGarde Bk BT" w:cs="Arial"/>
          <w:color w:val="000000" w:themeColor="text1"/>
        </w:rPr>
      </w:pPr>
    </w:p>
    <w:p w:rsidR="00B50417" w:rsidRPr="000723B0" w:rsidRDefault="00B50417" w:rsidP="00B50417">
      <w:pPr>
        <w:spacing w:line="240" w:lineRule="auto"/>
        <w:ind w:leftChars="0" w:left="708" w:firstLineChars="0" w:firstLine="0"/>
        <w:jc w:val="both"/>
        <w:rPr>
          <w:rFonts w:ascii="AvantGarde Bk BT" w:hAnsi="AvantGarde Bk BT" w:cs="Arial"/>
          <w:color w:val="000000" w:themeColor="text1"/>
        </w:rPr>
      </w:pPr>
      <w:r w:rsidRPr="000723B0">
        <w:rPr>
          <w:rFonts w:ascii="AvantGarde Bk BT" w:hAnsi="AvantGarde Bk BT" w:cs="Arial"/>
          <w:color w:val="000000" w:themeColor="text1"/>
        </w:rPr>
        <w:t>Se materializó con la creación de 11 Centros Universitarios que se definieron como temáticos 6 y regionales 5, así como con el nacimiento del SEMS.</w:t>
      </w:r>
    </w:p>
    <w:p w:rsidR="00B50417" w:rsidRPr="000723B0" w:rsidRDefault="00B50417" w:rsidP="00B50417">
      <w:pPr>
        <w:spacing w:line="240" w:lineRule="auto"/>
        <w:ind w:left="0" w:hanging="2"/>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lang w:val="es-MX"/>
        </w:rPr>
      </w:pPr>
      <w:r w:rsidRPr="000723B0">
        <w:rPr>
          <w:rFonts w:ascii="AvantGarde Bk BT" w:hAnsi="AvantGarde Bk BT" w:cs="Arial"/>
          <w:color w:val="000000" w:themeColor="text1"/>
        </w:rPr>
        <w:t xml:space="preserve">Las circunstancias y el contexto del momento llevaron a que se definiera la creación de los Centros Metropolitanos como temáticos, como un primer paso que </w:t>
      </w:r>
      <w:r w:rsidR="00391CBF" w:rsidRPr="000723B0">
        <w:rPr>
          <w:rFonts w:ascii="AvantGarde Bk BT" w:hAnsi="AvantGarde Bk BT" w:cs="Arial"/>
          <w:color w:val="000000" w:themeColor="text1"/>
        </w:rPr>
        <w:t>sentará</w:t>
      </w:r>
      <w:r w:rsidRPr="000723B0">
        <w:rPr>
          <w:rFonts w:ascii="AvantGarde Bk BT" w:hAnsi="AvantGarde Bk BT" w:cs="Arial"/>
          <w:color w:val="000000" w:themeColor="text1"/>
        </w:rPr>
        <w:t xml:space="preserve"> las bases para llevarlos en un segundo momento a convertirse en multidisciplinares, como fue el caso de los regionales desde su nacimiento. </w:t>
      </w:r>
    </w:p>
    <w:p w:rsidR="00B50417" w:rsidRPr="001077BC" w:rsidRDefault="00B50417" w:rsidP="00B50417">
      <w:pPr>
        <w:pStyle w:val="Prrafodelista"/>
        <w:spacing w:line="240" w:lineRule="auto"/>
        <w:ind w:leftChars="0" w:left="718" w:firstLineChars="0" w:firstLine="0"/>
        <w:jc w:val="both"/>
        <w:rPr>
          <w:rFonts w:ascii="Arial" w:hAnsi="Arial" w:cs="Arial"/>
          <w:color w:val="000000" w:themeColor="text1"/>
        </w:rPr>
      </w:pPr>
    </w:p>
    <w:p w:rsidR="00B50417" w:rsidRPr="000723B0" w:rsidRDefault="00B50417" w:rsidP="00B50417">
      <w:pPr>
        <w:pStyle w:val="Prrafodelista"/>
        <w:spacing w:line="240" w:lineRule="auto"/>
        <w:ind w:leftChars="0" w:left="718" w:firstLineChars="0" w:firstLine="0"/>
        <w:jc w:val="both"/>
        <w:rPr>
          <w:rFonts w:ascii="AvantGarde Bk BT" w:hAnsi="AvantGarde Bk BT" w:cs="Arial"/>
          <w:color w:val="000000" w:themeColor="text1"/>
          <w:lang w:val="es-MX"/>
        </w:rPr>
      </w:pPr>
      <w:r w:rsidRPr="000723B0">
        <w:rPr>
          <w:rFonts w:ascii="AvantGarde Bk BT" w:hAnsi="AvantGarde Bk BT" w:cs="Arial"/>
          <w:color w:val="000000" w:themeColor="text1"/>
          <w:lang w:val="es-MX"/>
        </w:rPr>
        <w:t>Lo anterior debido a que a diferencia de los Regionales que eran completamente de nueva creación, los temáticos nacen como una transformación de las diferentes facultades al nuevo modelo departamental de Centro Universitario.</w:t>
      </w:r>
    </w:p>
    <w:p w:rsidR="00B50417" w:rsidRPr="000723B0" w:rsidRDefault="00B50417" w:rsidP="00B50417">
      <w:pPr>
        <w:spacing w:line="240" w:lineRule="auto"/>
        <w:ind w:left="0" w:hanging="2"/>
        <w:jc w:val="both"/>
        <w:rPr>
          <w:rFonts w:ascii="AvantGarde Bk BT" w:hAnsi="AvantGarde Bk BT" w:cs="Arial"/>
          <w:color w:val="000000" w:themeColor="text1"/>
          <w:lang w:val="es-MX"/>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 xml:space="preserve">El establecimiento de Centros Universitarios multidisciplinares en el interior de Jalisco y en algunos municipios del Área Metropolitana de Guadalajara (AMG), representa en sus estudiantes la oportunidad de acceder a una oferta educativa variada que, además de incluir las particularidades del municipio y región donde se establece, permite la interacción y reflexión de los distintos saberes que adquieren, enriqueciendo su aprendizaje. </w:t>
      </w:r>
    </w:p>
    <w:p w:rsidR="00B50417" w:rsidRPr="000723B0" w:rsidRDefault="00B50417" w:rsidP="00B50417">
      <w:pPr>
        <w:spacing w:line="240" w:lineRule="auto"/>
        <w:ind w:left="0" w:hanging="2"/>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El modelo de Centros Universitarios temático vigente en la mayoría de los Centros Universitarios del AMG ha cumplido con los objetivos de especializar a sus educandos en áreas específicas del conocimiento. Sin embargo, la complejidad actual obliga al replanteamiento y abordaje de las distintas problemáticas sociales desde visiones ampliadas que interconecten la totali</w:t>
      </w:r>
      <w:r w:rsidR="00391CBF">
        <w:rPr>
          <w:rFonts w:ascii="AvantGarde Bk BT" w:hAnsi="AvantGarde Bk BT" w:cs="Arial"/>
          <w:color w:val="000000" w:themeColor="text1"/>
        </w:rPr>
        <w:t xml:space="preserve">dad de campos del conocimiento </w:t>
      </w:r>
      <w:r w:rsidR="00A0223C">
        <w:rPr>
          <w:rFonts w:ascii="AvantGarde Bk BT" w:hAnsi="AvantGarde Bk BT" w:cs="Arial"/>
          <w:color w:val="000000" w:themeColor="text1"/>
        </w:rPr>
        <w:t>y</w:t>
      </w:r>
      <w:r w:rsidRPr="000723B0">
        <w:rPr>
          <w:rFonts w:ascii="AvantGarde Bk BT" w:hAnsi="AvantGarde Bk BT" w:cs="Arial"/>
          <w:color w:val="000000" w:themeColor="text1"/>
        </w:rPr>
        <w:t xml:space="preserve">, </w:t>
      </w:r>
      <w:proofErr w:type="gramStart"/>
      <w:r w:rsidRPr="000723B0">
        <w:rPr>
          <w:rFonts w:ascii="AvantGarde Bk BT" w:hAnsi="AvantGarde Bk BT" w:cs="Arial"/>
          <w:color w:val="000000" w:themeColor="text1"/>
        </w:rPr>
        <w:t>que</w:t>
      </w:r>
      <w:proofErr w:type="gramEnd"/>
      <w:r w:rsidRPr="000723B0">
        <w:rPr>
          <w:rFonts w:ascii="AvantGarde Bk BT" w:hAnsi="AvantGarde Bk BT" w:cs="Arial"/>
          <w:color w:val="000000" w:themeColor="text1"/>
        </w:rPr>
        <w:t xml:space="preserve"> a su vez, y dado el crecimiento desproporcionado de la ciudad, otorguen a las y los jóvenes la oportunidad de acceder a programas académicos en los cuales sientan una mayor afinidad.  </w:t>
      </w:r>
    </w:p>
    <w:p w:rsidR="00B50417" w:rsidRPr="000723B0" w:rsidRDefault="00B50417" w:rsidP="00B50417">
      <w:pPr>
        <w:spacing w:line="240" w:lineRule="auto"/>
        <w:ind w:leftChars="0" w:left="0" w:firstLineChars="0" w:firstLine="0"/>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Por otro lado, a más de 25 años del inicio de la Red Universitaria, la ZMG ha crecido y cambiado mucho. Hoy los traslados de un punto a otro de la metrópoli toma</w:t>
      </w:r>
      <w:r w:rsidR="00391CBF">
        <w:rPr>
          <w:rFonts w:ascii="AvantGarde Bk BT" w:hAnsi="AvantGarde Bk BT" w:cs="Arial"/>
          <w:color w:val="000000" w:themeColor="text1"/>
        </w:rPr>
        <w:t>n</w:t>
      </w:r>
      <w:r w:rsidRPr="000723B0">
        <w:rPr>
          <w:rFonts w:ascii="AvantGarde Bk BT" w:hAnsi="AvantGarde Bk BT" w:cs="Arial"/>
          <w:color w:val="000000" w:themeColor="text1"/>
        </w:rPr>
        <w:t xml:space="preserve"> mucho más tiempo del que hace 3 décadas. Lo anterior es un motivo más para retomar la transición de los temáticos a multidisciplinares, misma que debió haber ocurrido hace tiempo.</w:t>
      </w:r>
    </w:p>
    <w:p w:rsidR="00B50417" w:rsidRPr="000723B0" w:rsidRDefault="00B50417" w:rsidP="00B50417">
      <w:pPr>
        <w:spacing w:line="240" w:lineRule="auto"/>
        <w:ind w:leftChars="0" w:left="0" w:firstLineChars="0" w:firstLine="0"/>
        <w:jc w:val="both"/>
        <w:rPr>
          <w:rFonts w:ascii="AvantGarde Bk BT" w:hAnsi="AvantGarde Bk BT" w:cs="Arial"/>
          <w:color w:val="000000" w:themeColor="text1"/>
        </w:rPr>
      </w:pPr>
    </w:p>
    <w:p w:rsidR="00B50417" w:rsidRPr="000723B0"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0723B0">
        <w:rPr>
          <w:rFonts w:ascii="AvantGarde Bk BT" w:hAnsi="AvantGarde Bk BT" w:cs="Arial"/>
          <w:color w:val="000000" w:themeColor="text1"/>
        </w:rPr>
        <w:t>Desde esta visión se propone modificar la normatividad vigente para que los Centros Universitarios temáticos se transformen a regionales y con ello tengan condiciones jurídicas para detonar procesos de análisis y estudios de pertinencia de la oferta académica de cada entidad, no solo de la actual sino de carreras nuevas.</w:t>
      </w:r>
    </w:p>
    <w:p w:rsidR="00B50417" w:rsidRPr="000723B0" w:rsidRDefault="00B50417" w:rsidP="00B50417">
      <w:pPr>
        <w:pStyle w:val="Prrafodelista"/>
        <w:ind w:left="0" w:hanging="2"/>
        <w:rPr>
          <w:rFonts w:ascii="AvantGarde Bk BT" w:hAnsi="AvantGarde Bk BT" w:cs="Arial"/>
          <w:color w:val="000000" w:themeColor="text1"/>
        </w:rPr>
      </w:pPr>
    </w:p>
    <w:p w:rsidR="00B50417" w:rsidRPr="00354A6E" w:rsidRDefault="00B50417" w:rsidP="00B50417">
      <w:pPr>
        <w:pStyle w:val="Prrafodelista"/>
        <w:numPr>
          <w:ilvl w:val="0"/>
          <w:numId w:val="1"/>
        </w:numPr>
        <w:spacing w:line="240" w:lineRule="auto"/>
        <w:ind w:leftChars="0" w:firstLineChars="0"/>
        <w:jc w:val="both"/>
        <w:rPr>
          <w:rFonts w:ascii="AvantGarde Bk BT" w:hAnsi="AvantGarde Bk BT" w:cs="Arial"/>
          <w:color w:val="000000" w:themeColor="text1"/>
        </w:rPr>
      </w:pPr>
      <w:r w:rsidRPr="00354A6E">
        <w:rPr>
          <w:rFonts w:ascii="AvantGarde Bk BT" w:hAnsi="AvantGarde Bk BT" w:cs="Arial"/>
          <w:color w:val="000000" w:themeColor="text1"/>
        </w:rPr>
        <w:t>Lo anterior, permite construir comunidades de aprendizaje abiertas a la vertigin</w:t>
      </w:r>
      <w:r w:rsidR="00E31DB8">
        <w:rPr>
          <w:rFonts w:ascii="AvantGarde Bk BT" w:hAnsi="AvantGarde Bk BT" w:cs="Arial"/>
          <w:color w:val="000000" w:themeColor="text1"/>
        </w:rPr>
        <w:t>osidad de los tiempos y las tra</w:t>
      </w:r>
      <w:r w:rsidRPr="00354A6E">
        <w:rPr>
          <w:rFonts w:ascii="AvantGarde Bk BT" w:hAnsi="AvantGarde Bk BT" w:cs="Arial"/>
          <w:color w:val="000000" w:themeColor="text1"/>
        </w:rPr>
        <w:t>n</w:t>
      </w:r>
      <w:r w:rsidR="00E31DB8">
        <w:rPr>
          <w:rFonts w:ascii="AvantGarde Bk BT" w:hAnsi="AvantGarde Bk BT" w:cs="Arial"/>
          <w:color w:val="000000" w:themeColor="text1"/>
        </w:rPr>
        <w:t>s</w:t>
      </w:r>
      <w:r w:rsidRPr="00354A6E">
        <w:rPr>
          <w:rFonts w:ascii="AvantGarde Bk BT" w:hAnsi="AvantGarde Bk BT" w:cs="Arial"/>
          <w:color w:val="000000" w:themeColor="text1"/>
        </w:rPr>
        <w:t xml:space="preserve">formaciones actuales, eliminando las barreras de imposibilidad institucional de adecuar programas académicos que la misma sociedad demanda. Asimismo, genera el desarrollo de competencias, habilidades y conocimientos; conecta ideas y talento universitario; y coloca al estudiante al centro de las decisiones proveyéndoles de mejores condiciones académicas para su éxito dentro y fuera de las aulas. </w:t>
      </w:r>
    </w:p>
    <w:p w:rsidR="00B50417" w:rsidRPr="00354A6E" w:rsidRDefault="00B50417" w:rsidP="00B50417">
      <w:pPr>
        <w:ind w:leftChars="0" w:left="0" w:firstLineChars="0" w:firstLine="0"/>
        <w:rPr>
          <w:rFonts w:ascii="AvantGarde Bk BT" w:hAnsi="AvantGarde Bk BT" w:cs="Arial"/>
          <w:color w:val="000000" w:themeColor="text1"/>
        </w:rPr>
      </w:pPr>
    </w:p>
    <w:p w:rsidR="00F22AD8" w:rsidRDefault="00B50417" w:rsidP="00354A6E">
      <w:pPr>
        <w:spacing w:line="240" w:lineRule="auto"/>
        <w:ind w:left="0" w:hanging="2"/>
        <w:jc w:val="both"/>
        <w:rPr>
          <w:rFonts w:ascii="AvantGarde Bk BT" w:eastAsia="Arial" w:hAnsi="AvantGarde Bk BT" w:cs="Arial"/>
          <w:color w:val="000000" w:themeColor="text1"/>
        </w:rPr>
      </w:pPr>
      <w:bookmarkStart w:id="0" w:name="_heading=h.30j0zll" w:colFirst="0" w:colLast="0"/>
      <w:bookmarkEnd w:id="0"/>
      <w:r w:rsidRPr="00354A6E">
        <w:rPr>
          <w:rFonts w:ascii="AvantGarde Bk BT" w:eastAsia="Arial" w:hAnsi="AvantGarde Bk BT" w:cs="Arial"/>
          <w:color w:val="000000" w:themeColor="text1"/>
        </w:rPr>
        <w:t>Lo anterior, de acuerdo con los siguientes:</w:t>
      </w:r>
    </w:p>
    <w:p w:rsidR="00354A6E" w:rsidRPr="00354A6E" w:rsidRDefault="00354A6E" w:rsidP="00354A6E">
      <w:pPr>
        <w:spacing w:line="240" w:lineRule="auto"/>
        <w:ind w:left="0" w:hanging="2"/>
        <w:jc w:val="both"/>
        <w:rPr>
          <w:rFonts w:ascii="AvantGarde Bk BT" w:eastAsia="Arial" w:hAnsi="AvantGarde Bk BT" w:cs="Arial"/>
          <w:color w:val="000000" w:themeColor="text1"/>
        </w:rPr>
      </w:pPr>
    </w:p>
    <w:p w:rsidR="00B50417" w:rsidRPr="00354A6E" w:rsidRDefault="00B50417" w:rsidP="00B50417">
      <w:pPr>
        <w:spacing w:line="240" w:lineRule="auto"/>
        <w:ind w:left="0" w:hanging="2"/>
        <w:jc w:val="center"/>
        <w:rPr>
          <w:rFonts w:ascii="AvantGarde Bk BT" w:eastAsia="Arial" w:hAnsi="AvantGarde Bk BT" w:cs="Arial"/>
          <w:b/>
          <w:color w:val="000000" w:themeColor="text1"/>
        </w:rPr>
      </w:pPr>
      <w:r w:rsidRPr="00354A6E">
        <w:rPr>
          <w:rFonts w:ascii="AvantGarde Bk BT" w:eastAsia="Arial" w:hAnsi="AvantGarde Bk BT" w:cs="Arial"/>
          <w:b/>
          <w:color w:val="000000" w:themeColor="text1"/>
        </w:rPr>
        <w:t>FUNDAMENTOS JURÍDICOS</w:t>
      </w:r>
    </w:p>
    <w:p w:rsidR="00B50417" w:rsidRPr="00354A6E" w:rsidRDefault="00B50417" w:rsidP="00B50417">
      <w:pPr>
        <w:ind w:left="0" w:hanging="2"/>
        <w:rPr>
          <w:rFonts w:ascii="AvantGarde Bk BT" w:hAnsi="AvantGarde Bk BT" w:cs="Arial"/>
          <w:color w:val="000000" w:themeColor="text1"/>
        </w:rPr>
      </w:pPr>
    </w:p>
    <w:p w:rsidR="001077BC"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 xml:space="preserve">Que 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 de su Ley Orgánica, publicada por el Ejecutivo local el día 15 de enero de 1994, en ejecución del Decreto No. 15319 del Congreso del Estado de Jalisco.  </w:t>
      </w:r>
    </w:p>
    <w:p w:rsidR="00B50417" w:rsidRPr="00354A6E" w:rsidRDefault="00B50417" w:rsidP="00B50417">
      <w:pPr>
        <w:spacing w:line="240" w:lineRule="auto"/>
        <w:ind w:leftChars="0" w:left="0" w:firstLineChars="0" w:firstLine="0"/>
        <w:jc w:val="both"/>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es atribución de la Universidad de Guadalajara realizar los programas de docencia, investigación y difusión de la cultura, de acuerdo con los principios y orientaciones previstos en el artículo 3° de la Constitución Federal; definir los criterios, requisitos y procedimientos para la admisión, promoción, permanencia y acreditación de los estudiantes; así como revalidar estudios hechos en instituciones extranjeras, de conformidad a lo establecido en las fracciones III, VI y VIII del artículo 6 de la Ley Orgánica de la Universidad de Guadalajara.</w:t>
      </w:r>
    </w:p>
    <w:p w:rsidR="00B50417" w:rsidRPr="00354A6E" w:rsidRDefault="00B50417" w:rsidP="00B50417">
      <w:pPr>
        <w:pStyle w:val="Prrafodelista"/>
        <w:ind w:left="0" w:hanging="2"/>
        <w:rPr>
          <w:rFonts w:ascii="AvantGarde Bk BT"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como lo señalan las fracciones I, II y IV, del artículo 5° de la Ley Orgánica, son fines de esta casa de estudios la formación y actualización de los técnicos, bachilleres, técnicos profesionales, graduados y demás recursos humanos que requieran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el desarrollo de la ciencia y tecnología.</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también es atribución de la Universidad, de conformidad con lo establecido con el artículo 6° fracciones II y XIII de la Ley Orgánica de la Universidad de Guadalajara, organizarse para el cumplimiento de sus fines de acuerdo con lo establecido en la misma Ley.</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en la realización de sus funciones y el cumplimiento de sus fines, la Universidad se orientará por un propósito de solidaridad social, anteponiéndolo a cualquier interés individual, y considerando entre otros los siguientes criterios: contribuirá, con base en los resultados de su quehacer académico, por sí misma o en coordinación con otras personas físicas o jurídicas, al progreso del pueblo mexicano y jalisciense, al estudio y solución de sus problemas, así como a la preservación de la soberanía nacional, y no hará discriminación por razones ideológicas, religiosas, morales, sociales, de raza, sexo o nacionalidad, ni de ninguna otra naturaleza, tal como se señala en las fracciones V y VI del artículo 9 de la Ley Orgánica de la Universidad de Guadalajara.</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el Consejo General Universitario funciona en pleno o por comisiones, las que pueden ser permanentes o especiales, como lo señala el artículo 27 de la Ley Orgánica de la Universidad de Guadalajara.</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El Estatuto General, establece en su artículo 39, fracción XII, que es atribución del H. Consejo General Universitario, aprobar las disposiciones generales para regular la organización y el funcionamiento de los Centros Universitarios; establecer las bases y principios para la creación, transformación y supresión de Divisiones, Departamentos, Academias, Centros Escuelas, Laboratorios y demás unidades de la Universidad.</w:t>
      </w:r>
    </w:p>
    <w:p w:rsidR="00B50417" w:rsidRPr="00354A6E" w:rsidRDefault="00B50417" w:rsidP="001077BC">
      <w:pPr>
        <w:suppressAutoHyphens w:val="0"/>
        <w:spacing w:line="240" w:lineRule="auto"/>
        <w:ind w:leftChars="0" w:left="426" w:firstLineChars="0" w:firstLine="0"/>
        <w:jc w:val="both"/>
        <w:textDirection w:val="lrTb"/>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es atribución de la Comisión Permanente de Educación conocer y dictaminar acerca de las propuestas de los Consejeros, el Rector General, o de los Titulares de los Centros, Divisiones y Escuelas, de conformidad con lo establecido en la fracción IV del artículo 85 del Estatuto General de la Universidad de Guadalajara.</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 de la Universidad de Guadalajara.</w:t>
      </w:r>
    </w:p>
    <w:p w:rsidR="00B50417" w:rsidRPr="00354A6E" w:rsidRDefault="00B50417" w:rsidP="001077BC">
      <w:pPr>
        <w:suppressAutoHyphens w:val="0"/>
        <w:spacing w:line="240" w:lineRule="auto"/>
        <w:ind w:leftChars="0" w:left="426" w:firstLineChars="0" w:firstLine="0"/>
        <w:jc w:val="both"/>
        <w:textDirection w:val="lrTb"/>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es atribución del Rector General, de conformidad con el artículo 35, fracción XIII, de la Ley Orgánica de la Universidad de Guadalajara, proponer al Consejo General Universitario la actualización y reordenamiento de los cuerpos normativos comunes para la Institución.</w:t>
      </w:r>
    </w:p>
    <w:p w:rsidR="00B50417" w:rsidRPr="00354A6E" w:rsidRDefault="00B50417" w:rsidP="001077BC">
      <w:pPr>
        <w:suppressAutoHyphens w:val="0"/>
        <w:spacing w:line="240" w:lineRule="auto"/>
        <w:ind w:leftChars="0" w:left="426" w:firstLineChars="0" w:firstLine="0"/>
        <w:jc w:val="both"/>
        <w:textAlignment w:val="auto"/>
        <w:outlineLvl w:val="9"/>
        <w:rPr>
          <w:rFonts w:ascii="AvantGarde Bk BT" w:eastAsia="Arial" w:hAnsi="AvantGarde Bk BT" w:cs="Arial"/>
          <w:color w:val="000000" w:themeColor="text1"/>
        </w:rPr>
      </w:pPr>
    </w:p>
    <w:p w:rsidR="00B50417" w:rsidRPr="00354A6E" w:rsidRDefault="00B50417" w:rsidP="001077BC">
      <w:pPr>
        <w:numPr>
          <w:ilvl w:val="0"/>
          <w:numId w:val="2"/>
        </w:numPr>
        <w:suppressAutoHyphens w:val="0"/>
        <w:spacing w:line="240" w:lineRule="auto"/>
        <w:ind w:leftChars="0" w:left="426" w:firstLineChars="0" w:hanging="428"/>
        <w:jc w:val="both"/>
        <w:textDirection w:val="lrTb"/>
        <w:textAlignment w:val="auto"/>
        <w:outlineLvl w:val="9"/>
        <w:rPr>
          <w:rFonts w:ascii="AvantGarde Bk BT" w:eastAsia="Arial" w:hAnsi="AvantGarde Bk BT" w:cs="Arial"/>
          <w:color w:val="000000" w:themeColor="text1"/>
        </w:rPr>
      </w:pPr>
      <w:r w:rsidRPr="00354A6E">
        <w:rPr>
          <w:rFonts w:ascii="AvantGarde Bk BT" w:eastAsia="Arial" w:hAnsi="AvantGarde Bk BT" w:cs="Arial"/>
          <w:color w:val="000000" w:themeColor="text1"/>
        </w:rPr>
        <w:t>Que de acuerdo a la fracción II del artículo 95 del Estatuto General de la Universidad de Guadalajara, el Rector General tiene entre sus atribuciones la de proponer ante el Consejo General Universitario, políticas y estrategias para el cumplimiento y desarrollo de las funciones sustantivas de la Universidad, así como orientaciones y principios reguladores de las misma.</w:t>
      </w:r>
    </w:p>
    <w:p w:rsidR="00B50417" w:rsidRPr="00354A6E" w:rsidRDefault="00B50417" w:rsidP="00B50417">
      <w:pPr>
        <w:pStyle w:val="Prrafodelista"/>
        <w:ind w:left="0" w:hanging="2"/>
        <w:rPr>
          <w:rFonts w:ascii="AvantGarde Bk BT" w:hAnsi="AvantGarde Bk BT" w:cs="Arial"/>
          <w:color w:val="000000" w:themeColor="text1"/>
        </w:rPr>
      </w:pPr>
    </w:p>
    <w:p w:rsidR="00B50417" w:rsidRPr="00354A6E" w:rsidRDefault="00B50417" w:rsidP="00B50417">
      <w:pPr>
        <w:spacing w:line="240" w:lineRule="auto"/>
        <w:ind w:left="0" w:hanging="2"/>
        <w:jc w:val="both"/>
        <w:rPr>
          <w:rFonts w:ascii="AvantGarde Bk BT" w:eastAsia="Arial" w:hAnsi="AvantGarde Bk BT" w:cs="Arial"/>
          <w:color w:val="000000" w:themeColor="text1"/>
        </w:rPr>
      </w:pPr>
      <w:r w:rsidRPr="00354A6E">
        <w:rPr>
          <w:rFonts w:ascii="AvantGarde Bk BT" w:eastAsia="Arial" w:hAnsi="AvantGarde Bk BT" w:cs="Arial"/>
          <w:color w:val="000000" w:themeColor="text1"/>
        </w:rPr>
        <w:t>Por lo anteriormente expuesto y fundado, estas Comisiones Permanentes de Educación y Normatividad, proponen al pleno del Consejo General Universitario, se resuelva conforme los siguientes:</w:t>
      </w:r>
    </w:p>
    <w:p w:rsidR="00B50417" w:rsidRPr="00354A6E" w:rsidRDefault="00B50417" w:rsidP="00B50417">
      <w:pPr>
        <w:suppressAutoHyphens w:val="0"/>
        <w:spacing w:line="240" w:lineRule="auto"/>
        <w:ind w:leftChars="0" w:left="0" w:firstLineChars="0" w:firstLine="0"/>
        <w:textDirection w:val="lrTb"/>
        <w:textAlignment w:val="auto"/>
        <w:outlineLvl w:val="9"/>
        <w:rPr>
          <w:rFonts w:ascii="AvantGarde Bk BT" w:eastAsia="Arial" w:hAnsi="AvantGarde Bk BT" w:cs="Arial"/>
          <w:color w:val="000000" w:themeColor="text1"/>
        </w:rPr>
      </w:pPr>
    </w:p>
    <w:p w:rsidR="00B50417" w:rsidRPr="00354A6E" w:rsidRDefault="00B50417" w:rsidP="00B50417">
      <w:pPr>
        <w:ind w:left="0" w:hanging="2"/>
        <w:jc w:val="center"/>
        <w:rPr>
          <w:rFonts w:ascii="AvantGarde Bk BT" w:eastAsia="Questrial" w:hAnsi="AvantGarde Bk BT" w:cs="Arial"/>
          <w:color w:val="000000" w:themeColor="text1"/>
          <w:sz w:val="22"/>
          <w:szCs w:val="22"/>
        </w:rPr>
      </w:pPr>
      <w:r w:rsidRPr="00354A6E">
        <w:rPr>
          <w:rFonts w:ascii="AvantGarde Bk BT" w:eastAsia="Questrial" w:hAnsi="AvantGarde Bk BT" w:cs="Arial"/>
          <w:b/>
          <w:color w:val="000000" w:themeColor="text1"/>
          <w:sz w:val="22"/>
          <w:szCs w:val="22"/>
        </w:rPr>
        <w:t>RESOLUTIVOS</w:t>
      </w:r>
    </w:p>
    <w:p w:rsidR="00B50417" w:rsidRPr="00354A6E" w:rsidRDefault="00B50417" w:rsidP="00B50417">
      <w:pPr>
        <w:ind w:leftChars="0" w:left="0" w:firstLineChars="0" w:firstLine="0"/>
        <w:rPr>
          <w:rFonts w:ascii="AvantGarde Bk BT" w:eastAsia="Questrial" w:hAnsi="AvantGarde Bk BT" w:cs="Arial"/>
          <w:color w:val="000000" w:themeColor="text1"/>
          <w:sz w:val="22"/>
          <w:szCs w:val="22"/>
        </w:rPr>
      </w:pPr>
    </w:p>
    <w:p w:rsidR="00B50417" w:rsidRPr="00354A6E" w:rsidRDefault="00B50417" w:rsidP="00B50417">
      <w:pPr>
        <w:ind w:left="0" w:hanging="2"/>
        <w:jc w:val="both"/>
        <w:rPr>
          <w:rFonts w:ascii="AvantGarde Bk BT" w:hAnsi="AvantGarde Bk BT" w:cs="Arial"/>
          <w:color w:val="000000" w:themeColor="text1"/>
        </w:rPr>
      </w:pPr>
      <w:r w:rsidRPr="00354A6E">
        <w:rPr>
          <w:rFonts w:ascii="AvantGarde Bk BT" w:hAnsi="AvantGarde Bk BT" w:cs="Arial"/>
          <w:b/>
          <w:color w:val="000000" w:themeColor="text1"/>
        </w:rPr>
        <w:t xml:space="preserve">PRIMERO. </w:t>
      </w:r>
      <w:r w:rsidRPr="00354A6E">
        <w:rPr>
          <w:rFonts w:ascii="AvantGarde Bk BT" w:hAnsi="AvantGarde Bk BT" w:cs="Arial"/>
          <w:color w:val="000000" w:themeColor="text1"/>
        </w:rPr>
        <w:t>Se transforman los Centros Universitarios Temáticos a Centros Universitarios Regionales.</w:t>
      </w:r>
    </w:p>
    <w:p w:rsidR="00B50417" w:rsidRPr="00354A6E" w:rsidRDefault="00B50417" w:rsidP="00B50417">
      <w:pPr>
        <w:ind w:left="0" w:hanging="2"/>
        <w:jc w:val="both"/>
        <w:rPr>
          <w:rFonts w:ascii="AvantGarde Bk BT" w:hAnsi="AvantGarde Bk BT" w:cs="Arial"/>
          <w:color w:val="000000" w:themeColor="text1"/>
        </w:rPr>
      </w:pPr>
    </w:p>
    <w:p w:rsidR="00B50417" w:rsidRPr="00354A6E" w:rsidRDefault="00B50417" w:rsidP="00B50417">
      <w:pPr>
        <w:ind w:left="0" w:hanging="2"/>
        <w:jc w:val="both"/>
        <w:rPr>
          <w:rFonts w:ascii="AvantGarde Bk BT" w:hAnsi="AvantGarde Bk BT" w:cs="Arial"/>
          <w:bCs/>
          <w:color w:val="000000" w:themeColor="text1"/>
        </w:rPr>
      </w:pPr>
      <w:r w:rsidRPr="00354A6E">
        <w:rPr>
          <w:rFonts w:ascii="AvantGarde Bk BT" w:hAnsi="AvantGarde Bk BT" w:cs="Arial"/>
          <w:b/>
          <w:color w:val="000000" w:themeColor="text1"/>
        </w:rPr>
        <w:t xml:space="preserve">SEGUNDO. </w:t>
      </w:r>
      <w:r w:rsidRPr="00354A6E">
        <w:rPr>
          <w:rFonts w:ascii="AvantGarde Bk BT" w:hAnsi="AvantGarde Bk BT" w:cs="Arial"/>
          <w:bCs/>
          <w:color w:val="000000" w:themeColor="text1"/>
        </w:rPr>
        <w:t>Se deroga el artículo 6 y se modifica el artículo 7, ambos del Estatuto General de la Universidad de Guadalajara, para quedar como sigue:</w:t>
      </w:r>
    </w:p>
    <w:p w:rsidR="00B50417" w:rsidRPr="00354A6E" w:rsidRDefault="00B50417" w:rsidP="00B50417">
      <w:pPr>
        <w:ind w:left="0" w:hanging="2"/>
        <w:jc w:val="both"/>
        <w:rPr>
          <w:rFonts w:ascii="AvantGarde Bk BT" w:hAnsi="AvantGarde Bk BT" w:cs="Arial"/>
          <w:b/>
          <w:color w:val="000000" w:themeColor="text1"/>
        </w:rPr>
      </w:pPr>
    </w:p>
    <w:p w:rsidR="00B50417" w:rsidRPr="00354A6E" w:rsidRDefault="00B50417" w:rsidP="00B50417">
      <w:pPr>
        <w:tabs>
          <w:tab w:val="left" w:pos="-720"/>
        </w:tabs>
        <w:ind w:leftChars="0" w:left="567" w:firstLineChars="0" w:firstLine="0"/>
        <w:jc w:val="both"/>
        <w:rPr>
          <w:rFonts w:ascii="AvantGarde Bk BT" w:hAnsi="AvantGarde Bk BT" w:cs="Arial Narrow"/>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Artículo 6.</w:t>
      </w:r>
      <w:r w:rsidRPr="00354A6E">
        <w:rPr>
          <w:rFonts w:ascii="AvantGarde Bk BT" w:hAnsi="AvantGarde Bk BT" w:cs="Arial Narrow"/>
          <w:i/>
          <w:iCs/>
          <w:color w:val="000000" w:themeColor="text1"/>
          <w:spacing w:val="-2"/>
          <w:sz w:val="21"/>
          <w:szCs w:val="21"/>
        </w:rPr>
        <w:t xml:space="preserve"> Se deroga:</w:t>
      </w:r>
    </w:p>
    <w:p w:rsidR="00B50417" w:rsidRPr="00354A6E" w:rsidRDefault="00B50417" w:rsidP="00B50417">
      <w:pPr>
        <w:tabs>
          <w:tab w:val="left" w:pos="-720"/>
        </w:tabs>
        <w:ind w:leftChars="0" w:left="567" w:firstLineChars="0" w:firstLine="0"/>
        <w:jc w:val="both"/>
        <w:rPr>
          <w:rFonts w:ascii="AvantGarde Bk BT" w:hAnsi="AvantGarde Bk BT" w:cs="Arial Narrow"/>
          <w:i/>
          <w:iCs/>
          <w:color w:val="000000" w:themeColor="text1"/>
          <w:spacing w:val="-2"/>
          <w:sz w:val="21"/>
          <w:szCs w:val="21"/>
        </w:rPr>
      </w:pPr>
    </w:p>
    <w:p w:rsidR="00B50417" w:rsidRPr="00354A6E" w:rsidRDefault="00B50417" w:rsidP="00B50417">
      <w:pPr>
        <w:tabs>
          <w:tab w:val="left" w:pos="-720"/>
          <w:tab w:val="left" w:pos="720"/>
          <w:tab w:val="left" w:pos="1418"/>
        </w:tabs>
        <w:ind w:leftChars="0" w:left="567" w:firstLineChars="0" w:firstLine="0"/>
        <w:jc w:val="both"/>
        <w:rPr>
          <w:rFonts w:ascii="AvantGarde Bk BT" w:hAnsi="AvantGarde Bk BT" w:cs="Arial Narrow"/>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b/>
        <w:t>I.</w:t>
      </w:r>
      <w:r w:rsidRPr="00354A6E">
        <w:rPr>
          <w:rFonts w:ascii="AvantGarde Bk BT" w:hAnsi="AvantGarde Bk BT" w:cs="Arial Narrow"/>
          <w:b/>
          <w:bCs/>
          <w:i/>
          <w:iCs/>
          <w:color w:val="000000" w:themeColor="text1"/>
          <w:spacing w:val="-2"/>
          <w:sz w:val="21"/>
          <w:szCs w:val="21"/>
        </w:rPr>
        <w:tab/>
      </w:r>
      <w:r w:rsidRPr="00354A6E">
        <w:rPr>
          <w:rFonts w:ascii="AvantGarde Bk BT" w:hAnsi="AvantGarde Bk BT" w:cs="Arial Narrow"/>
          <w:i/>
          <w:iCs/>
          <w:color w:val="000000" w:themeColor="text1"/>
          <w:spacing w:val="-2"/>
          <w:sz w:val="21"/>
          <w:szCs w:val="21"/>
        </w:rPr>
        <w:t>Se deroga;</w:t>
      </w:r>
    </w:p>
    <w:p w:rsidR="00B50417" w:rsidRPr="00354A6E" w:rsidRDefault="00B50417" w:rsidP="00B50417">
      <w:pPr>
        <w:tabs>
          <w:tab w:val="left" w:pos="-720"/>
          <w:tab w:val="left" w:pos="720"/>
          <w:tab w:val="left" w:pos="1418"/>
        </w:tabs>
        <w:ind w:leftChars="0" w:left="567" w:firstLineChars="0" w:firstLine="0"/>
        <w:jc w:val="both"/>
        <w:rPr>
          <w:rFonts w:ascii="AvantGarde Bk BT" w:hAnsi="AvantGarde Bk BT" w:cs="Arial Narrow"/>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b/>
        <w:t>II.</w:t>
      </w:r>
      <w:r w:rsidRPr="00354A6E">
        <w:rPr>
          <w:rFonts w:ascii="AvantGarde Bk BT" w:hAnsi="AvantGarde Bk BT" w:cs="Arial Narrow"/>
          <w:b/>
          <w:bCs/>
          <w:i/>
          <w:iCs/>
          <w:color w:val="000000" w:themeColor="text1"/>
          <w:spacing w:val="-2"/>
          <w:sz w:val="21"/>
          <w:szCs w:val="21"/>
        </w:rPr>
        <w:tab/>
      </w:r>
      <w:r w:rsidRPr="00354A6E">
        <w:rPr>
          <w:rFonts w:ascii="AvantGarde Bk BT" w:hAnsi="AvantGarde Bk BT" w:cs="Arial Narrow"/>
          <w:i/>
          <w:iCs/>
          <w:color w:val="000000" w:themeColor="text1"/>
          <w:spacing w:val="-2"/>
          <w:sz w:val="21"/>
          <w:szCs w:val="21"/>
        </w:rPr>
        <w:t>Se deroga;</w:t>
      </w:r>
    </w:p>
    <w:p w:rsidR="00B50417" w:rsidRPr="00354A6E" w:rsidRDefault="00B50417" w:rsidP="00B50417">
      <w:pPr>
        <w:tabs>
          <w:tab w:val="left" w:pos="-720"/>
          <w:tab w:val="left" w:pos="720"/>
          <w:tab w:val="left" w:pos="1418"/>
        </w:tabs>
        <w:ind w:leftChars="0" w:left="1418" w:firstLineChars="0" w:hanging="851"/>
        <w:jc w:val="both"/>
        <w:rPr>
          <w:rFonts w:ascii="AvantGarde Bk BT" w:hAnsi="AvantGarde Bk BT" w:cs="Arial Narrow"/>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b/>
        <w:t>III.</w:t>
      </w:r>
      <w:r w:rsidRPr="00354A6E">
        <w:rPr>
          <w:rFonts w:ascii="AvantGarde Bk BT" w:hAnsi="AvantGarde Bk BT" w:cs="Arial Narrow"/>
          <w:b/>
          <w:bCs/>
          <w:i/>
          <w:iCs/>
          <w:color w:val="000000" w:themeColor="text1"/>
          <w:spacing w:val="-2"/>
          <w:sz w:val="21"/>
          <w:szCs w:val="21"/>
        </w:rPr>
        <w:tab/>
      </w:r>
      <w:r w:rsidRPr="00354A6E">
        <w:rPr>
          <w:rFonts w:ascii="AvantGarde Bk BT" w:hAnsi="AvantGarde Bk BT" w:cs="Arial Narrow"/>
          <w:i/>
          <w:iCs/>
          <w:color w:val="000000" w:themeColor="text1"/>
          <w:spacing w:val="-2"/>
          <w:sz w:val="21"/>
          <w:szCs w:val="21"/>
        </w:rPr>
        <w:t>Se deroga;</w:t>
      </w:r>
    </w:p>
    <w:p w:rsidR="00B50417" w:rsidRPr="00354A6E" w:rsidRDefault="00B50417" w:rsidP="00B50417">
      <w:pPr>
        <w:tabs>
          <w:tab w:val="left" w:pos="-720"/>
          <w:tab w:val="left" w:pos="720"/>
          <w:tab w:val="left" w:pos="1418"/>
        </w:tabs>
        <w:ind w:leftChars="0" w:left="1418" w:firstLineChars="0" w:hanging="851"/>
        <w:jc w:val="both"/>
        <w:rPr>
          <w:rFonts w:ascii="AvantGarde Bk BT" w:hAnsi="AvantGarde Bk BT" w:cs="Arial Narrow"/>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b/>
        <w:t>IV.</w:t>
      </w:r>
      <w:r w:rsidRPr="00354A6E">
        <w:rPr>
          <w:rFonts w:ascii="AvantGarde Bk BT" w:hAnsi="AvantGarde Bk BT" w:cs="Arial Narrow"/>
          <w:b/>
          <w:bCs/>
          <w:i/>
          <w:iCs/>
          <w:color w:val="000000" w:themeColor="text1"/>
          <w:spacing w:val="-2"/>
          <w:sz w:val="21"/>
          <w:szCs w:val="21"/>
        </w:rPr>
        <w:tab/>
      </w:r>
      <w:r w:rsidRPr="00354A6E">
        <w:rPr>
          <w:rFonts w:ascii="AvantGarde Bk BT" w:hAnsi="AvantGarde Bk BT" w:cs="Arial Narrow"/>
          <w:i/>
          <w:iCs/>
          <w:color w:val="000000" w:themeColor="text1"/>
          <w:spacing w:val="-2"/>
          <w:sz w:val="21"/>
          <w:szCs w:val="21"/>
        </w:rPr>
        <w:t>Se deroga;</w:t>
      </w:r>
    </w:p>
    <w:p w:rsidR="00B50417" w:rsidRPr="00354A6E" w:rsidRDefault="00B50417" w:rsidP="00B50417">
      <w:pPr>
        <w:tabs>
          <w:tab w:val="left" w:pos="-720"/>
          <w:tab w:val="left" w:pos="720"/>
          <w:tab w:val="left" w:pos="1418"/>
        </w:tabs>
        <w:ind w:leftChars="0" w:left="1418" w:firstLineChars="0" w:hanging="851"/>
        <w:jc w:val="both"/>
        <w:rPr>
          <w:rFonts w:ascii="AvantGarde Bk BT" w:hAnsi="AvantGarde Bk BT" w:cs="Arial Narrow"/>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b/>
        <w:t>V.</w:t>
      </w:r>
      <w:r w:rsidRPr="00354A6E">
        <w:rPr>
          <w:rFonts w:ascii="AvantGarde Bk BT" w:hAnsi="AvantGarde Bk BT" w:cs="Arial Narrow"/>
          <w:b/>
          <w:bCs/>
          <w:i/>
          <w:iCs/>
          <w:color w:val="000000" w:themeColor="text1"/>
          <w:spacing w:val="-2"/>
          <w:sz w:val="21"/>
          <w:szCs w:val="21"/>
        </w:rPr>
        <w:tab/>
      </w:r>
      <w:r w:rsidRPr="00354A6E">
        <w:rPr>
          <w:rFonts w:ascii="AvantGarde Bk BT" w:hAnsi="AvantGarde Bk BT" w:cs="Arial Narrow"/>
          <w:i/>
          <w:iCs/>
          <w:color w:val="000000" w:themeColor="text1"/>
          <w:spacing w:val="-2"/>
          <w:sz w:val="21"/>
          <w:szCs w:val="21"/>
        </w:rPr>
        <w:t>Se deroga;</w:t>
      </w:r>
    </w:p>
    <w:p w:rsidR="00B50417" w:rsidRPr="00354A6E" w:rsidRDefault="00B50417" w:rsidP="00B50417">
      <w:pPr>
        <w:tabs>
          <w:tab w:val="left" w:pos="-720"/>
          <w:tab w:val="left" w:pos="720"/>
          <w:tab w:val="left" w:pos="1418"/>
        </w:tabs>
        <w:ind w:leftChars="0" w:left="567" w:firstLineChars="0" w:firstLine="0"/>
        <w:jc w:val="both"/>
        <w:rPr>
          <w:rFonts w:ascii="AvantGarde Bk BT" w:hAnsi="AvantGarde Bk BT" w:cs="Arial Narrow"/>
          <w:b/>
          <w:bCs/>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b/>
        <w:t>VI.</w:t>
      </w:r>
      <w:r w:rsidRPr="00354A6E">
        <w:rPr>
          <w:rFonts w:ascii="AvantGarde Bk BT" w:hAnsi="AvantGarde Bk BT" w:cs="Arial Narrow"/>
          <w:b/>
          <w:bCs/>
          <w:i/>
          <w:iCs/>
          <w:color w:val="000000" w:themeColor="text1"/>
          <w:spacing w:val="-2"/>
          <w:sz w:val="21"/>
          <w:szCs w:val="21"/>
        </w:rPr>
        <w:tab/>
      </w:r>
      <w:r w:rsidRPr="00354A6E">
        <w:rPr>
          <w:rFonts w:ascii="AvantGarde Bk BT" w:hAnsi="AvantGarde Bk BT" w:cs="Arial Narrow"/>
          <w:i/>
          <w:iCs/>
          <w:color w:val="000000" w:themeColor="text1"/>
          <w:spacing w:val="-2"/>
          <w:sz w:val="21"/>
          <w:szCs w:val="21"/>
        </w:rPr>
        <w:t>Se deroga.</w:t>
      </w:r>
      <w:r w:rsidRPr="00354A6E">
        <w:rPr>
          <w:rFonts w:ascii="AvantGarde Bk BT" w:hAnsi="AvantGarde Bk BT" w:cs="Arial Narrow"/>
          <w:b/>
          <w:bCs/>
          <w:i/>
          <w:iCs/>
          <w:color w:val="000000" w:themeColor="text1"/>
          <w:spacing w:val="-2"/>
          <w:sz w:val="21"/>
          <w:szCs w:val="21"/>
        </w:rPr>
        <w:tab/>
      </w:r>
    </w:p>
    <w:p w:rsidR="00B50417" w:rsidRPr="00354A6E" w:rsidRDefault="00B50417" w:rsidP="00B50417">
      <w:pPr>
        <w:tabs>
          <w:tab w:val="left" w:pos="-720"/>
          <w:tab w:val="left" w:pos="720"/>
          <w:tab w:val="left" w:pos="1418"/>
        </w:tabs>
        <w:ind w:leftChars="0" w:left="567" w:firstLineChars="0" w:firstLine="0"/>
        <w:jc w:val="both"/>
        <w:rPr>
          <w:rFonts w:ascii="AvantGarde Bk BT" w:hAnsi="AvantGarde Bk BT" w:cs="Arial Narrow"/>
          <w:b/>
          <w:bCs/>
          <w:i/>
          <w:iCs/>
          <w:color w:val="000000" w:themeColor="text1"/>
          <w:spacing w:val="-2"/>
          <w:sz w:val="21"/>
          <w:szCs w:val="21"/>
        </w:rPr>
      </w:pPr>
    </w:p>
    <w:p w:rsidR="00B50417" w:rsidRPr="00354A6E" w:rsidRDefault="00B50417" w:rsidP="00B50417">
      <w:pPr>
        <w:tabs>
          <w:tab w:val="left" w:pos="-720"/>
          <w:tab w:val="left" w:pos="720"/>
          <w:tab w:val="left" w:pos="1418"/>
        </w:tabs>
        <w:ind w:leftChars="0" w:left="567" w:firstLineChars="0" w:firstLine="0"/>
        <w:jc w:val="both"/>
        <w:rPr>
          <w:rFonts w:ascii="AvantGarde Bk BT" w:hAnsi="AvantGarde Bk BT" w:cs="Arial Narrow"/>
          <w:b/>
          <w:bCs/>
          <w:i/>
          <w:iCs/>
          <w:color w:val="000000" w:themeColor="text1"/>
          <w:spacing w:val="-2"/>
          <w:sz w:val="21"/>
          <w:szCs w:val="21"/>
        </w:rPr>
      </w:pPr>
      <w:r w:rsidRPr="00354A6E">
        <w:rPr>
          <w:rFonts w:ascii="AvantGarde Bk BT" w:hAnsi="AvantGarde Bk BT" w:cs="Arial Narrow"/>
          <w:b/>
          <w:bCs/>
          <w:i/>
          <w:iCs/>
          <w:color w:val="000000" w:themeColor="text1"/>
          <w:spacing w:val="-2"/>
          <w:sz w:val="21"/>
          <w:szCs w:val="21"/>
        </w:rPr>
        <w:t>Artículo 7.</w:t>
      </w:r>
      <w:r w:rsidRPr="00354A6E">
        <w:rPr>
          <w:rFonts w:ascii="AvantGarde Bk BT" w:hAnsi="AvantGarde Bk BT" w:cs="Arial Narrow"/>
          <w:i/>
          <w:iCs/>
          <w:color w:val="000000" w:themeColor="text1"/>
          <w:spacing w:val="-2"/>
          <w:sz w:val="21"/>
          <w:szCs w:val="21"/>
        </w:rPr>
        <w:t xml:space="preserve"> Los centros </w:t>
      </w:r>
      <w:r w:rsidR="00E62A04" w:rsidRPr="00354A6E">
        <w:rPr>
          <w:rFonts w:ascii="AvantGarde Bk BT" w:hAnsi="AvantGarde Bk BT" w:cs="Arial Narrow"/>
          <w:i/>
          <w:iCs/>
          <w:color w:val="000000" w:themeColor="text1"/>
          <w:spacing w:val="-2"/>
          <w:sz w:val="21"/>
          <w:szCs w:val="21"/>
        </w:rPr>
        <w:t xml:space="preserve">universitarios </w:t>
      </w:r>
      <w:r w:rsidRPr="00354A6E">
        <w:rPr>
          <w:rFonts w:ascii="AvantGarde Bk BT" w:hAnsi="AvantGarde Bk BT" w:cs="Arial Narrow"/>
          <w:i/>
          <w:iCs/>
          <w:color w:val="000000" w:themeColor="text1"/>
          <w:spacing w:val="-2"/>
          <w:sz w:val="21"/>
          <w:szCs w:val="21"/>
        </w:rPr>
        <w:t>regionales constituyentes de la Red Universitaria, son los siguientes:</w:t>
      </w:r>
    </w:p>
    <w:p w:rsidR="00B50417" w:rsidRPr="00354A6E" w:rsidRDefault="00B50417" w:rsidP="00B50417">
      <w:pPr>
        <w:tabs>
          <w:tab w:val="left" w:pos="-720"/>
        </w:tabs>
        <w:ind w:leftChars="0" w:left="567" w:firstLineChars="0" w:firstLine="0"/>
        <w:jc w:val="both"/>
        <w:rPr>
          <w:rFonts w:ascii="AvantGarde Bk BT" w:hAnsi="AvantGarde Bk BT" w:cs="Arial Narrow"/>
          <w:i/>
          <w:iCs/>
          <w:color w:val="000000" w:themeColor="text1"/>
          <w:spacing w:val="-2"/>
          <w:sz w:val="21"/>
          <w:szCs w:val="21"/>
        </w:rPr>
      </w:pPr>
    </w:p>
    <w:p w:rsidR="00B50417" w:rsidRPr="00354A6E" w:rsidRDefault="00B50417" w:rsidP="00B50417">
      <w:pPr>
        <w:pStyle w:val="Prrafodelista"/>
        <w:numPr>
          <w:ilvl w:val="0"/>
          <w:numId w:val="3"/>
        </w:numPr>
        <w:tabs>
          <w:tab w:val="left" w:pos="-720"/>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Centros Universitario de Ciencias Económico-Administrativas, </w:t>
      </w:r>
      <w:r w:rsidR="00C93E95" w:rsidRPr="00354A6E">
        <w:rPr>
          <w:rFonts w:ascii="AvantGarde Bk BT" w:hAnsi="AvantGarde Bk BT" w:cs="Arial Narrow"/>
          <w:i/>
          <w:iCs/>
          <w:color w:val="000000" w:themeColor="text1"/>
          <w:spacing w:val="-2"/>
          <w:sz w:val="21"/>
          <w:szCs w:val="21"/>
        </w:rPr>
        <w:t xml:space="preserve">con sede </w:t>
      </w:r>
      <w:r w:rsidRPr="00354A6E">
        <w:rPr>
          <w:rFonts w:ascii="AvantGarde Bk BT" w:hAnsi="AvantGarde Bk BT" w:cs="Arial Narrow"/>
          <w:i/>
          <w:iCs/>
          <w:color w:val="000000" w:themeColor="text1"/>
          <w:spacing w:val="-2"/>
          <w:sz w:val="21"/>
          <w:szCs w:val="21"/>
        </w:rPr>
        <w:t>en Los Belenes, municipio de Zapopan;</w:t>
      </w:r>
    </w:p>
    <w:p w:rsidR="00B50417" w:rsidRPr="00354A6E" w:rsidRDefault="00B50417" w:rsidP="00B50417">
      <w:pPr>
        <w:pStyle w:val="Prrafodelista"/>
        <w:numPr>
          <w:ilvl w:val="0"/>
          <w:numId w:val="3"/>
        </w:numPr>
        <w:tabs>
          <w:tab w:val="left" w:pos="-720"/>
        </w:tabs>
        <w:ind w:leftChars="0" w:left="1134" w:firstLineChars="0"/>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Centros Universitario de Ciencias Exactas e Ingenierías, </w:t>
      </w:r>
      <w:r w:rsidR="00C93E95" w:rsidRPr="00354A6E">
        <w:rPr>
          <w:rFonts w:ascii="AvantGarde Bk BT" w:hAnsi="AvantGarde Bk BT" w:cs="Arial Narrow"/>
          <w:i/>
          <w:iCs/>
          <w:color w:val="000000" w:themeColor="text1"/>
          <w:spacing w:val="-2"/>
          <w:sz w:val="21"/>
          <w:szCs w:val="21"/>
        </w:rPr>
        <w:t xml:space="preserve">con sede </w:t>
      </w:r>
      <w:r w:rsidRPr="00354A6E">
        <w:rPr>
          <w:rFonts w:ascii="AvantGarde Bk BT" w:hAnsi="AvantGarde Bk BT" w:cs="Arial Narrow"/>
          <w:i/>
          <w:iCs/>
          <w:color w:val="000000" w:themeColor="text1"/>
          <w:spacing w:val="-2"/>
          <w:sz w:val="21"/>
          <w:szCs w:val="21"/>
        </w:rPr>
        <w:t>en el Instituto Tecnológico, Sector Reforma, ciudad de Guadalajara;</w:t>
      </w:r>
    </w:p>
    <w:p w:rsidR="00B50417" w:rsidRPr="00354A6E" w:rsidRDefault="00B50417" w:rsidP="00B50417">
      <w:pPr>
        <w:pStyle w:val="Prrafodelista"/>
        <w:numPr>
          <w:ilvl w:val="0"/>
          <w:numId w:val="3"/>
        </w:numPr>
        <w:tabs>
          <w:tab w:val="left" w:pos="-720"/>
        </w:tabs>
        <w:ind w:leftChars="0" w:left="1134" w:firstLineChars="0"/>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Centros Universitario de Ciencias Sociales y Humanidades,</w:t>
      </w:r>
      <w:r w:rsidR="00E75436" w:rsidRPr="00354A6E">
        <w:rPr>
          <w:rFonts w:ascii="AvantGarde Bk BT" w:hAnsi="AvantGarde Bk BT" w:cs="Arial Narrow"/>
          <w:i/>
          <w:iCs/>
          <w:color w:val="000000" w:themeColor="text1"/>
          <w:spacing w:val="-2"/>
          <w:sz w:val="21"/>
          <w:szCs w:val="21"/>
        </w:rPr>
        <w:t xml:space="preserve"> </w:t>
      </w:r>
      <w:r w:rsidR="00C93E95" w:rsidRPr="00354A6E">
        <w:rPr>
          <w:rFonts w:ascii="AvantGarde Bk BT" w:hAnsi="AvantGarde Bk BT" w:cs="Arial Narrow"/>
          <w:i/>
          <w:iCs/>
          <w:color w:val="000000" w:themeColor="text1"/>
          <w:spacing w:val="-2"/>
          <w:sz w:val="21"/>
          <w:szCs w:val="21"/>
        </w:rPr>
        <w:t xml:space="preserve">con sede </w:t>
      </w:r>
      <w:r w:rsidR="00E75436" w:rsidRPr="00354A6E">
        <w:rPr>
          <w:rFonts w:ascii="AvantGarde Bk BT" w:hAnsi="AvantGarde Bk BT" w:cs="Arial Narrow"/>
          <w:i/>
          <w:iCs/>
          <w:color w:val="000000" w:themeColor="text1"/>
          <w:spacing w:val="-2"/>
          <w:sz w:val="21"/>
          <w:szCs w:val="21"/>
        </w:rPr>
        <w:t>en Los Belenes, municipio de Zapopan</w:t>
      </w:r>
      <w:r w:rsidRPr="00354A6E">
        <w:rPr>
          <w:rFonts w:ascii="AvantGarde Bk BT" w:hAnsi="AvantGarde Bk BT" w:cs="Arial Narrow"/>
          <w:i/>
          <w:iCs/>
          <w:color w:val="000000" w:themeColor="text1"/>
          <w:spacing w:val="-2"/>
          <w:sz w:val="21"/>
          <w:szCs w:val="21"/>
        </w:rPr>
        <w:t>;</w:t>
      </w:r>
    </w:p>
    <w:p w:rsidR="00B50417" w:rsidRPr="00354A6E" w:rsidRDefault="00B50417" w:rsidP="00B50417">
      <w:pPr>
        <w:pStyle w:val="Prrafodelista"/>
        <w:numPr>
          <w:ilvl w:val="0"/>
          <w:numId w:val="3"/>
        </w:numPr>
        <w:tabs>
          <w:tab w:val="left" w:pos="-720"/>
        </w:tabs>
        <w:ind w:leftChars="0" w:left="1134" w:firstLineChars="0"/>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Centros Universitario de Ciencias de la Salud, </w:t>
      </w:r>
      <w:r w:rsidR="00C93E95" w:rsidRPr="00354A6E">
        <w:rPr>
          <w:rFonts w:ascii="AvantGarde Bk BT" w:hAnsi="AvantGarde Bk BT" w:cs="Arial Narrow"/>
          <w:i/>
          <w:iCs/>
          <w:color w:val="000000" w:themeColor="text1"/>
          <w:spacing w:val="-2"/>
          <w:sz w:val="21"/>
          <w:szCs w:val="21"/>
        </w:rPr>
        <w:t xml:space="preserve">con sede </w:t>
      </w:r>
      <w:r w:rsidRPr="00354A6E">
        <w:rPr>
          <w:rFonts w:ascii="AvantGarde Bk BT" w:hAnsi="AvantGarde Bk BT" w:cs="Arial Narrow"/>
          <w:i/>
          <w:iCs/>
          <w:color w:val="000000" w:themeColor="text1"/>
          <w:spacing w:val="-2"/>
          <w:sz w:val="21"/>
          <w:szCs w:val="21"/>
        </w:rPr>
        <w:t>en el Centro Médico, Colonia Independencia, Sector Libertad, Guadalajara;</w:t>
      </w:r>
    </w:p>
    <w:p w:rsidR="00B50417" w:rsidRPr="00354A6E" w:rsidRDefault="00B50417" w:rsidP="00B50417">
      <w:pPr>
        <w:pStyle w:val="Prrafodelista"/>
        <w:numPr>
          <w:ilvl w:val="0"/>
          <w:numId w:val="3"/>
        </w:numPr>
        <w:tabs>
          <w:tab w:val="left" w:pos="-720"/>
        </w:tabs>
        <w:ind w:leftChars="0" w:left="1134" w:firstLineChars="0"/>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Centros Universitario de Artes, Arquitectura y Diseño, </w:t>
      </w:r>
      <w:r w:rsidR="00C93E95" w:rsidRPr="00354A6E">
        <w:rPr>
          <w:rFonts w:ascii="AvantGarde Bk BT" w:hAnsi="AvantGarde Bk BT" w:cs="Arial Narrow"/>
          <w:i/>
          <w:iCs/>
          <w:color w:val="000000" w:themeColor="text1"/>
          <w:spacing w:val="-2"/>
          <w:sz w:val="21"/>
          <w:szCs w:val="21"/>
        </w:rPr>
        <w:t xml:space="preserve">con sede </w:t>
      </w:r>
      <w:r w:rsidRPr="00354A6E">
        <w:rPr>
          <w:rFonts w:ascii="AvantGarde Bk BT" w:hAnsi="AvantGarde Bk BT" w:cs="Arial Narrow"/>
          <w:i/>
          <w:iCs/>
          <w:color w:val="000000" w:themeColor="text1"/>
          <w:spacing w:val="-2"/>
          <w:sz w:val="21"/>
          <w:szCs w:val="21"/>
        </w:rPr>
        <w:t xml:space="preserve">en el núcleo de </w:t>
      </w:r>
      <w:proofErr w:type="spellStart"/>
      <w:r w:rsidRPr="00354A6E">
        <w:rPr>
          <w:rFonts w:ascii="AvantGarde Bk BT" w:hAnsi="AvantGarde Bk BT" w:cs="Arial Narrow"/>
          <w:i/>
          <w:iCs/>
          <w:color w:val="000000" w:themeColor="text1"/>
          <w:spacing w:val="-2"/>
          <w:sz w:val="21"/>
          <w:szCs w:val="21"/>
        </w:rPr>
        <w:t>Huentitán</w:t>
      </w:r>
      <w:proofErr w:type="spellEnd"/>
      <w:r w:rsidRPr="00354A6E">
        <w:rPr>
          <w:rFonts w:ascii="AvantGarde Bk BT" w:hAnsi="AvantGarde Bk BT" w:cs="Arial Narrow"/>
          <w:i/>
          <w:iCs/>
          <w:color w:val="000000" w:themeColor="text1"/>
          <w:spacing w:val="-2"/>
          <w:sz w:val="21"/>
          <w:szCs w:val="21"/>
        </w:rPr>
        <w:t xml:space="preserve"> el Bajo, Guadalajara; </w:t>
      </w:r>
    </w:p>
    <w:p w:rsidR="00B50417" w:rsidRPr="00354A6E" w:rsidRDefault="00B50417" w:rsidP="00B50417">
      <w:pPr>
        <w:pStyle w:val="Prrafodelista"/>
        <w:numPr>
          <w:ilvl w:val="0"/>
          <w:numId w:val="3"/>
        </w:numPr>
        <w:tabs>
          <w:tab w:val="left" w:pos="-720"/>
        </w:tabs>
        <w:ind w:leftChars="0" w:left="1134" w:firstLineChars="0"/>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Centros Universitario de Ciencias Biológicas y Agropecuarias, </w:t>
      </w:r>
      <w:r w:rsidR="00C93E95" w:rsidRPr="00354A6E">
        <w:rPr>
          <w:rFonts w:ascii="AvantGarde Bk BT" w:hAnsi="AvantGarde Bk BT" w:cs="Arial Narrow"/>
          <w:i/>
          <w:iCs/>
          <w:color w:val="000000" w:themeColor="text1"/>
          <w:spacing w:val="-2"/>
          <w:sz w:val="21"/>
          <w:szCs w:val="21"/>
        </w:rPr>
        <w:t xml:space="preserve">con sede </w:t>
      </w:r>
      <w:r w:rsidRPr="00354A6E">
        <w:rPr>
          <w:rFonts w:ascii="AvantGarde Bk BT" w:hAnsi="AvantGarde Bk BT" w:cs="Arial Narrow"/>
          <w:i/>
          <w:iCs/>
          <w:color w:val="000000" w:themeColor="text1"/>
          <w:spacing w:val="-2"/>
          <w:sz w:val="21"/>
          <w:szCs w:val="21"/>
        </w:rPr>
        <w:t>en el predio Las Agujas, municipio de Zapopan;</w:t>
      </w:r>
    </w:p>
    <w:p w:rsidR="00B50417" w:rsidRPr="00354A6E" w:rsidRDefault="00B50417" w:rsidP="00B50417">
      <w:pPr>
        <w:pStyle w:val="Prrafodelista"/>
        <w:numPr>
          <w:ilvl w:val="0"/>
          <w:numId w:val="3"/>
        </w:numPr>
        <w:tabs>
          <w:tab w:val="left" w:pos="-720"/>
        </w:tabs>
        <w:ind w:leftChars="0" w:left="1134" w:firstLineChars="0"/>
        <w:jc w:val="both"/>
        <w:rPr>
          <w:rFonts w:ascii="AvantGarde Bk BT" w:hAnsi="AvantGarde Bk BT" w:cs="Arial Narrow"/>
          <w:b/>
          <w:bCs/>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Centros Universitario de Los Altos, con sede en Tepatitlán de Morelos;</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 La Ciénega, con sedes en Ocotlán, La Barca y Atotonilco;</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del Sur, con sede en Ciudad Guzmán;</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 Universitario de La Costa, con sedes en Puerto Vallarta y </w:t>
      </w:r>
      <w:proofErr w:type="spellStart"/>
      <w:r w:rsidRPr="00354A6E">
        <w:rPr>
          <w:rFonts w:ascii="AvantGarde Bk BT" w:hAnsi="AvantGarde Bk BT" w:cs="Arial Narrow"/>
          <w:i/>
          <w:iCs/>
          <w:color w:val="000000" w:themeColor="text1"/>
          <w:spacing w:val="-2"/>
          <w:sz w:val="21"/>
          <w:szCs w:val="21"/>
        </w:rPr>
        <w:t>Tomatlán</w:t>
      </w:r>
      <w:proofErr w:type="spellEnd"/>
      <w:r w:rsidRPr="00354A6E">
        <w:rPr>
          <w:rFonts w:ascii="AvantGarde Bk BT" w:hAnsi="AvantGarde Bk BT" w:cs="Arial Narrow"/>
          <w:i/>
          <w:iCs/>
          <w:color w:val="000000" w:themeColor="text1"/>
          <w:spacing w:val="-2"/>
          <w:sz w:val="21"/>
          <w:szCs w:val="21"/>
        </w:rPr>
        <w:t>;</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 La Costa Sur, con sede en Autlán de Navarro;</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 los Valles con sede en Ameca;</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 xml:space="preserve">Centro Universitario del Norte con sede en </w:t>
      </w:r>
      <w:proofErr w:type="spellStart"/>
      <w:r w:rsidRPr="00354A6E">
        <w:rPr>
          <w:rFonts w:ascii="AvantGarde Bk BT" w:hAnsi="AvantGarde Bk BT" w:cs="Arial Narrow"/>
          <w:i/>
          <w:iCs/>
          <w:color w:val="000000" w:themeColor="text1"/>
          <w:spacing w:val="-2"/>
          <w:sz w:val="21"/>
          <w:szCs w:val="21"/>
        </w:rPr>
        <w:t>Colotlán</w:t>
      </w:r>
      <w:proofErr w:type="spellEnd"/>
      <w:r w:rsidRPr="00354A6E">
        <w:rPr>
          <w:rFonts w:ascii="AvantGarde Bk BT" w:hAnsi="AvantGarde Bk BT" w:cs="Arial Narrow"/>
          <w:i/>
          <w:iCs/>
          <w:color w:val="000000" w:themeColor="text1"/>
          <w:spacing w:val="-2"/>
          <w:sz w:val="21"/>
          <w:szCs w:val="21"/>
        </w:rPr>
        <w:t>;</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 Los Lagos con sedes en Lagos de Moreno y en San Juan de los Lagos, Jalisco;</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 Tonalá, con sede en Tonalá Jalisco, y</w:t>
      </w:r>
    </w:p>
    <w:p w:rsidR="00B50417" w:rsidRPr="00354A6E" w:rsidRDefault="00B50417" w:rsidP="00B50417">
      <w:pPr>
        <w:pStyle w:val="Prrafodelista"/>
        <w:numPr>
          <w:ilvl w:val="0"/>
          <w:numId w:val="3"/>
        </w:numPr>
        <w:tabs>
          <w:tab w:val="left" w:pos="-720"/>
          <w:tab w:val="left" w:pos="1134"/>
          <w:tab w:val="left" w:pos="1418"/>
        </w:tabs>
        <w:ind w:leftChars="0" w:left="1134" w:firstLineChars="0" w:hanging="425"/>
        <w:jc w:val="both"/>
        <w:rPr>
          <w:rFonts w:ascii="AvantGarde Bk BT" w:hAnsi="AvantGarde Bk BT" w:cs="Arial Narrow"/>
          <w:i/>
          <w:iCs/>
          <w:color w:val="000000" w:themeColor="text1"/>
          <w:spacing w:val="-2"/>
          <w:sz w:val="21"/>
          <w:szCs w:val="21"/>
        </w:rPr>
      </w:pPr>
      <w:r w:rsidRPr="00354A6E">
        <w:rPr>
          <w:rFonts w:ascii="AvantGarde Bk BT" w:hAnsi="AvantGarde Bk BT" w:cs="Arial Narrow"/>
          <w:i/>
          <w:iCs/>
          <w:color w:val="000000" w:themeColor="text1"/>
          <w:spacing w:val="-2"/>
          <w:sz w:val="21"/>
          <w:szCs w:val="21"/>
        </w:rPr>
        <w:t>Centro Universitario de Tlajomulco, con sede en Tlajomulco de Zúñiga, Jalisco.</w:t>
      </w:r>
    </w:p>
    <w:p w:rsidR="00B50417" w:rsidRPr="00354A6E" w:rsidRDefault="00B50417" w:rsidP="00B50417">
      <w:pPr>
        <w:tabs>
          <w:tab w:val="left" w:pos="2410"/>
        </w:tabs>
        <w:ind w:leftChars="0" w:left="0" w:firstLineChars="0" w:firstLine="0"/>
        <w:jc w:val="both"/>
        <w:rPr>
          <w:rFonts w:ascii="AvantGarde Bk BT" w:hAnsi="AvantGarde Bk BT" w:cs="Arial"/>
          <w:b/>
          <w:color w:val="000000" w:themeColor="text1"/>
        </w:rPr>
      </w:pPr>
    </w:p>
    <w:p w:rsidR="00B50417" w:rsidRPr="00354A6E" w:rsidRDefault="00B50417" w:rsidP="00B50417">
      <w:pPr>
        <w:tabs>
          <w:tab w:val="left" w:pos="2410"/>
        </w:tabs>
        <w:ind w:left="0" w:hanging="2"/>
        <w:jc w:val="both"/>
        <w:rPr>
          <w:rFonts w:ascii="AvantGarde Bk BT" w:hAnsi="AvantGarde Bk BT" w:cs="Arial"/>
          <w:color w:val="000000" w:themeColor="text1"/>
        </w:rPr>
      </w:pPr>
      <w:r w:rsidRPr="00354A6E">
        <w:rPr>
          <w:rFonts w:ascii="AvantGarde Bk BT" w:hAnsi="AvantGarde Bk BT" w:cs="Arial"/>
          <w:b/>
          <w:color w:val="000000" w:themeColor="text1"/>
        </w:rPr>
        <w:t xml:space="preserve">TERCERO. </w:t>
      </w:r>
      <w:r w:rsidRPr="00354A6E">
        <w:rPr>
          <w:rFonts w:ascii="AvantGarde Bk BT" w:hAnsi="AvantGarde Bk BT" w:cs="Arial"/>
          <w:bCs/>
          <w:color w:val="000000" w:themeColor="text1"/>
        </w:rPr>
        <w:t>Los Consejos de los Centros Universitarios contarán</w:t>
      </w:r>
      <w:r w:rsidRPr="00354A6E">
        <w:rPr>
          <w:rFonts w:ascii="AvantGarde Bk BT" w:hAnsi="AvantGarde Bk BT" w:cs="Arial"/>
          <w:color w:val="000000" w:themeColor="text1"/>
        </w:rPr>
        <w:t xml:space="preserve"> con un término de 180 días a partir de que el Consejo de Rectores apruebe los criterios generales para las denominaciones de los Centros Universitarios, para proponer</w:t>
      </w:r>
      <w:r w:rsidR="00C93E95" w:rsidRPr="00354A6E">
        <w:rPr>
          <w:rFonts w:ascii="AvantGarde Bk BT" w:hAnsi="AvantGarde Bk BT" w:cs="Arial"/>
          <w:color w:val="000000" w:themeColor="text1"/>
        </w:rPr>
        <w:t>,</w:t>
      </w:r>
      <w:r w:rsidRPr="00354A6E">
        <w:rPr>
          <w:rFonts w:ascii="AvantGarde Bk BT" w:hAnsi="AvantGarde Bk BT" w:cs="Arial"/>
          <w:color w:val="000000" w:themeColor="text1"/>
        </w:rPr>
        <w:t xml:space="preserve"> </w:t>
      </w:r>
      <w:r w:rsidR="00C93E95" w:rsidRPr="00354A6E">
        <w:rPr>
          <w:rFonts w:ascii="AvantGarde Bk BT" w:hAnsi="AvantGarde Bk BT" w:cs="Arial"/>
          <w:color w:val="000000" w:themeColor="text1"/>
        </w:rPr>
        <w:t xml:space="preserve">en su caso, </w:t>
      </w:r>
      <w:r w:rsidRPr="00354A6E">
        <w:rPr>
          <w:rFonts w:ascii="AvantGarde Bk BT" w:hAnsi="AvantGarde Bk BT" w:cs="Arial"/>
          <w:color w:val="000000" w:themeColor="text1"/>
        </w:rPr>
        <w:t xml:space="preserve">al H. Consejo General Universitario, su nueva denominación. </w:t>
      </w:r>
    </w:p>
    <w:p w:rsidR="00B50417" w:rsidRPr="00354A6E" w:rsidRDefault="00B50417" w:rsidP="00B50417">
      <w:pPr>
        <w:ind w:leftChars="0" w:left="0" w:firstLineChars="0" w:firstLine="0"/>
        <w:jc w:val="both"/>
        <w:rPr>
          <w:rFonts w:ascii="AvantGarde Bk BT" w:hAnsi="AvantGarde Bk BT" w:cs="Arial"/>
          <w:b/>
          <w:color w:val="000000" w:themeColor="text1"/>
        </w:rPr>
      </w:pPr>
    </w:p>
    <w:p w:rsidR="00B50417" w:rsidRPr="00354A6E" w:rsidRDefault="00B50417" w:rsidP="00B50417">
      <w:pPr>
        <w:ind w:left="0" w:hanging="2"/>
        <w:jc w:val="both"/>
        <w:rPr>
          <w:rFonts w:ascii="AvantGarde Bk BT" w:hAnsi="AvantGarde Bk BT" w:cs="Arial"/>
          <w:bCs/>
          <w:color w:val="000000" w:themeColor="text1"/>
        </w:rPr>
      </w:pPr>
      <w:r w:rsidRPr="00354A6E">
        <w:rPr>
          <w:rFonts w:ascii="AvantGarde Bk BT" w:hAnsi="AvantGarde Bk BT" w:cs="Arial"/>
          <w:b/>
          <w:color w:val="000000" w:themeColor="text1"/>
        </w:rPr>
        <w:t xml:space="preserve">CUARTO. </w:t>
      </w:r>
      <w:r w:rsidRPr="00354A6E">
        <w:rPr>
          <w:rFonts w:ascii="AvantGarde Bk BT" w:hAnsi="AvantGarde Bk BT" w:cs="Arial"/>
          <w:bCs/>
          <w:color w:val="000000" w:themeColor="text1"/>
        </w:rPr>
        <w:t xml:space="preserve">Los Centros Universitarios a partir de la entrada en vigor del presente dictamen, y atendiendo a los recursos humanos y materiales de que dispongan, podrán diversificar su oferta académica conforme lo establece la normatividad universitaria. </w:t>
      </w:r>
    </w:p>
    <w:p w:rsidR="00B50417" w:rsidRPr="00354A6E" w:rsidRDefault="00B50417" w:rsidP="00B50417">
      <w:pPr>
        <w:ind w:left="0" w:hanging="2"/>
        <w:jc w:val="both"/>
        <w:rPr>
          <w:rFonts w:ascii="AvantGarde Bk BT" w:hAnsi="AvantGarde Bk BT" w:cs="Arial"/>
          <w:b/>
          <w:color w:val="000000" w:themeColor="text1"/>
        </w:rPr>
      </w:pPr>
    </w:p>
    <w:p w:rsidR="00B50417" w:rsidRPr="00354A6E" w:rsidRDefault="00B50417" w:rsidP="00B50417">
      <w:pPr>
        <w:ind w:left="0" w:hanging="2"/>
        <w:jc w:val="both"/>
        <w:rPr>
          <w:rFonts w:ascii="AvantGarde Bk BT" w:hAnsi="AvantGarde Bk BT" w:cs="Arial"/>
          <w:color w:val="000000" w:themeColor="text1"/>
        </w:rPr>
      </w:pPr>
      <w:r w:rsidRPr="00354A6E">
        <w:rPr>
          <w:rFonts w:ascii="AvantGarde Bk BT" w:hAnsi="AvantGarde Bk BT" w:cs="Arial"/>
          <w:b/>
          <w:color w:val="000000" w:themeColor="text1"/>
        </w:rPr>
        <w:t>QUINTO.</w:t>
      </w:r>
      <w:r w:rsidRPr="00354A6E">
        <w:rPr>
          <w:rFonts w:ascii="AvantGarde Bk BT" w:hAnsi="AvantGarde Bk BT" w:cs="Arial"/>
          <w:color w:val="000000" w:themeColor="text1"/>
        </w:rPr>
        <w:t xml:space="preserve"> Una vez definidas las denominaciones de los Centros Universitarios, deberán realizarse las adecuaciones normativas al Estatuto General, a los Estatutos Orgánicos de los Centros Universitarios y demás normatividad universitaria.</w:t>
      </w:r>
    </w:p>
    <w:p w:rsidR="00B50417" w:rsidRPr="00354A6E" w:rsidRDefault="00B50417" w:rsidP="00B50417">
      <w:pPr>
        <w:ind w:left="0" w:hanging="2"/>
        <w:jc w:val="both"/>
        <w:rPr>
          <w:rFonts w:ascii="AvantGarde Bk BT" w:hAnsi="AvantGarde Bk BT" w:cs="Arial"/>
          <w:b/>
          <w:color w:val="000000" w:themeColor="text1"/>
        </w:rPr>
      </w:pPr>
    </w:p>
    <w:p w:rsidR="00B50417" w:rsidRPr="00354A6E" w:rsidRDefault="00B50417" w:rsidP="00B50417">
      <w:pPr>
        <w:ind w:left="0" w:hanging="2"/>
        <w:jc w:val="both"/>
        <w:rPr>
          <w:rFonts w:ascii="AvantGarde Bk BT" w:hAnsi="AvantGarde Bk BT" w:cs="Arial"/>
          <w:color w:val="000000" w:themeColor="text1"/>
        </w:rPr>
      </w:pPr>
      <w:r w:rsidRPr="00354A6E">
        <w:rPr>
          <w:rFonts w:ascii="AvantGarde Bk BT" w:eastAsia="Questrial" w:hAnsi="AvantGarde Bk BT" w:cs="Arial"/>
          <w:b/>
          <w:color w:val="000000" w:themeColor="text1"/>
        </w:rPr>
        <w:t>SEXTO</w:t>
      </w:r>
      <w:r w:rsidRPr="00354A6E">
        <w:rPr>
          <w:rFonts w:ascii="AvantGarde Bk BT" w:hAnsi="AvantGarde Bk BT" w:cs="Arial"/>
          <w:b/>
          <w:color w:val="000000" w:themeColor="text1"/>
        </w:rPr>
        <w:t>.</w:t>
      </w:r>
      <w:r w:rsidRPr="00354A6E">
        <w:rPr>
          <w:rFonts w:ascii="AvantGarde Bk BT" w:hAnsi="AvantGarde Bk BT" w:cs="Arial"/>
          <w:color w:val="000000" w:themeColor="text1"/>
        </w:rPr>
        <w:t xml:space="preserve"> El presente Dictamen entrará en vigor al día siguiente de su publicación.</w:t>
      </w:r>
    </w:p>
    <w:p w:rsidR="00B50417" w:rsidRPr="00354A6E" w:rsidRDefault="00B50417" w:rsidP="00B50417">
      <w:pPr>
        <w:ind w:leftChars="0" w:left="0" w:firstLineChars="0" w:firstLine="0"/>
        <w:jc w:val="both"/>
        <w:rPr>
          <w:rFonts w:ascii="AvantGarde Bk BT" w:hAnsi="AvantGarde Bk BT" w:cs="Arial"/>
          <w:color w:val="000000" w:themeColor="text1"/>
        </w:rPr>
      </w:pPr>
    </w:p>
    <w:p w:rsidR="00B50417" w:rsidRPr="00354A6E" w:rsidRDefault="00B50417" w:rsidP="00B50417">
      <w:pPr>
        <w:ind w:left="0" w:hanging="2"/>
        <w:jc w:val="both"/>
        <w:rPr>
          <w:rFonts w:ascii="AvantGarde Bk BT" w:hAnsi="AvantGarde Bk BT" w:cs="Arial"/>
          <w:color w:val="000000" w:themeColor="text1"/>
        </w:rPr>
      </w:pPr>
      <w:r w:rsidRPr="00354A6E">
        <w:rPr>
          <w:rFonts w:ascii="AvantGarde Bk BT" w:hAnsi="AvantGarde Bk BT" w:cs="Arial"/>
          <w:b/>
          <w:color w:val="000000" w:themeColor="text1"/>
        </w:rPr>
        <w:t xml:space="preserve">SÉPTIMO. </w:t>
      </w:r>
      <w:r w:rsidRPr="00354A6E">
        <w:rPr>
          <w:rFonts w:ascii="AvantGarde Bk BT" w:hAnsi="AvantGarde Bk BT" w:cs="Arial"/>
          <w:color w:val="000000" w:themeColor="text1"/>
        </w:rPr>
        <w:t>Publíquese el presente Dictamen en la Gaceta de la Universidad de Guadalajara.</w:t>
      </w:r>
    </w:p>
    <w:p w:rsidR="00B50417" w:rsidRPr="00354A6E" w:rsidRDefault="00B50417" w:rsidP="00B50417">
      <w:pPr>
        <w:ind w:left="0" w:hanging="2"/>
        <w:jc w:val="both"/>
        <w:rPr>
          <w:rFonts w:ascii="AvantGarde Bk BT" w:eastAsia="Questrial" w:hAnsi="AvantGarde Bk BT" w:cs="Arial"/>
          <w:color w:val="000000" w:themeColor="text1"/>
        </w:rPr>
      </w:pPr>
    </w:p>
    <w:p w:rsidR="00B50417" w:rsidRPr="00354A6E" w:rsidRDefault="00B50417" w:rsidP="00B50417">
      <w:pPr>
        <w:pBdr>
          <w:top w:val="nil"/>
          <w:left w:val="nil"/>
          <w:bottom w:val="nil"/>
          <w:right w:val="nil"/>
          <w:between w:val="nil"/>
        </w:pBdr>
        <w:spacing w:line="240" w:lineRule="auto"/>
        <w:ind w:left="0" w:hanging="2"/>
        <w:jc w:val="both"/>
        <w:rPr>
          <w:rFonts w:ascii="AvantGarde Bk BT" w:eastAsia="Questrial" w:hAnsi="AvantGarde Bk BT" w:cs="Arial"/>
          <w:color w:val="000000" w:themeColor="text1"/>
        </w:rPr>
      </w:pPr>
      <w:r w:rsidRPr="00354A6E">
        <w:rPr>
          <w:rFonts w:ascii="AvantGarde Bk BT" w:eastAsia="Questrial" w:hAnsi="AvantGarde Bk BT" w:cs="Arial"/>
          <w:b/>
          <w:color w:val="000000" w:themeColor="text1"/>
        </w:rPr>
        <w:t xml:space="preserve">OCTAVO. </w:t>
      </w:r>
      <w:r w:rsidRPr="00354A6E">
        <w:rPr>
          <w:rFonts w:ascii="AvantGarde Bk BT" w:eastAsia="Questrial" w:hAnsi="AvantGarde Bk BT" w:cs="Arial"/>
          <w:color w:val="000000" w:themeColor="text1"/>
        </w:rPr>
        <w:t xml:space="preserve">Ejecútese el presente </w:t>
      </w:r>
      <w:r w:rsidR="00391CBF">
        <w:rPr>
          <w:rFonts w:ascii="AvantGarde Bk BT" w:eastAsia="Questrial" w:hAnsi="AvantGarde Bk BT" w:cs="Arial"/>
          <w:color w:val="000000" w:themeColor="text1"/>
        </w:rPr>
        <w:t>d</w:t>
      </w:r>
      <w:r w:rsidRPr="00354A6E">
        <w:rPr>
          <w:rFonts w:ascii="AvantGarde Bk BT" w:eastAsia="Questrial" w:hAnsi="AvantGarde Bk BT" w:cs="Arial"/>
          <w:color w:val="000000" w:themeColor="text1"/>
        </w:rPr>
        <w:t>ictamen</w:t>
      </w:r>
      <w:r w:rsidR="00354A6E">
        <w:rPr>
          <w:rFonts w:ascii="AvantGarde Bk BT" w:eastAsia="Questrial" w:hAnsi="AvantGarde Bk BT" w:cs="Arial"/>
          <w:color w:val="000000" w:themeColor="text1"/>
        </w:rPr>
        <w:t xml:space="preserve"> en los términos de la </w:t>
      </w:r>
      <w:r w:rsidRPr="00354A6E">
        <w:rPr>
          <w:rFonts w:ascii="AvantGarde Bk BT" w:eastAsia="Questrial" w:hAnsi="AvantGarde Bk BT" w:cs="Arial"/>
          <w:color w:val="000000" w:themeColor="text1"/>
        </w:rPr>
        <w:t>fracción II del artículo 35 de la Ley Orgánica</w:t>
      </w:r>
      <w:r w:rsidR="00354A6E">
        <w:rPr>
          <w:rFonts w:ascii="AvantGarde Bk BT" w:eastAsia="Questrial" w:hAnsi="AvantGarde Bk BT" w:cs="Arial"/>
          <w:color w:val="000000" w:themeColor="text1"/>
        </w:rPr>
        <w:t xml:space="preserve"> de la Universidad de Guadalajara</w:t>
      </w:r>
      <w:r w:rsidRPr="00354A6E">
        <w:rPr>
          <w:rFonts w:ascii="AvantGarde Bk BT" w:eastAsia="Questrial" w:hAnsi="AvantGarde Bk BT" w:cs="Arial"/>
          <w:color w:val="000000" w:themeColor="text1"/>
        </w:rPr>
        <w:t xml:space="preserve">. </w:t>
      </w:r>
    </w:p>
    <w:p w:rsidR="00B50417" w:rsidRPr="00354A6E" w:rsidRDefault="00B50417" w:rsidP="00B50417">
      <w:pPr>
        <w:ind w:left="0" w:hanging="2"/>
        <w:jc w:val="both"/>
        <w:rPr>
          <w:rFonts w:ascii="AvantGarde Bk BT" w:eastAsia="Questrial" w:hAnsi="AvantGarde Bk BT" w:cs="Arial"/>
          <w:color w:val="000000" w:themeColor="text1"/>
        </w:rPr>
      </w:pPr>
    </w:p>
    <w:p w:rsidR="00B50417" w:rsidRPr="00354A6E" w:rsidRDefault="00B50417" w:rsidP="00B50417">
      <w:pPr>
        <w:ind w:left="0" w:hanging="2"/>
        <w:jc w:val="center"/>
        <w:rPr>
          <w:rFonts w:ascii="AvantGarde Bk BT" w:eastAsia="Questrial" w:hAnsi="AvantGarde Bk BT" w:cs="Arial"/>
          <w:color w:val="000000" w:themeColor="text1"/>
        </w:rPr>
      </w:pPr>
      <w:r w:rsidRPr="00354A6E">
        <w:rPr>
          <w:rFonts w:ascii="AvantGarde Bk BT" w:eastAsia="Questrial" w:hAnsi="AvantGarde Bk BT" w:cs="Arial"/>
          <w:color w:val="000000" w:themeColor="text1"/>
        </w:rPr>
        <w:t>Atentamente</w:t>
      </w:r>
    </w:p>
    <w:p w:rsidR="00B50417" w:rsidRPr="00354A6E" w:rsidRDefault="00B50417" w:rsidP="00B50417">
      <w:pPr>
        <w:ind w:left="0" w:hanging="2"/>
        <w:jc w:val="center"/>
        <w:rPr>
          <w:rFonts w:ascii="AvantGarde Bk BT" w:eastAsia="Questrial" w:hAnsi="AvantGarde Bk BT" w:cs="Arial"/>
          <w:b/>
          <w:color w:val="000000" w:themeColor="text1"/>
        </w:rPr>
      </w:pPr>
      <w:r w:rsidRPr="00354A6E">
        <w:rPr>
          <w:rFonts w:ascii="AvantGarde Bk BT" w:eastAsia="Questrial" w:hAnsi="AvantGarde Bk BT" w:cs="Arial"/>
          <w:b/>
          <w:color w:val="000000" w:themeColor="text1"/>
        </w:rPr>
        <w:t>“Piensa y Trabaja”</w:t>
      </w:r>
    </w:p>
    <w:p w:rsidR="00B50417" w:rsidRPr="00354A6E" w:rsidRDefault="00B50417" w:rsidP="00B50417">
      <w:pPr>
        <w:ind w:left="0" w:hanging="2"/>
        <w:jc w:val="center"/>
        <w:rPr>
          <w:rFonts w:ascii="AvantGarde Bk BT" w:eastAsia="Questrial" w:hAnsi="AvantGarde Bk BT" w:cs="Arial"/>
          <w:color w:val="000000" w:themeColor="text1"/>
        </w:rPr>
      </w:pPr>
      <w:r w:rsidRPr="00354A6E">
        <w:rPr>
          <w:rFonts w:ascii="AvantGarde Bk BT" w:eastAsia="Questrial" w:hAnsi="AvantGarde Bk BT" w:cs="Arial"/>
          <w:color w:val="000000" w:themeColor="text1"/>
        </w:rPr>
        <w:t xml:space="preserve">Guadalajara, Jalisco, </w:t>
      </w:r>
      <w:r w:rsidR="00165E0A" w:rsidRPr="00354A6E">
        <w:rPr>
          <w:rFonts w:ascii="AvantGarde Bk BT" w:eastAsia="Questrial" w:hAnsi="AvantGarde Bk BT" w:cs="Arial"/>
          <w:color w:val="000000" w:themeColor="text1"/>
        </w:rPr>
        <w:t>07 de marzo</w:t>
      </w:r>
      <w:r w:rsidRPr="00354A6E">
        <w:rPr>
          <w:rFonts w:ascii="AvantGarde Bk BT" w:eastAsia="Questrial" w:hAnsi="AvantGarde Bk BT" w:cs="Arial"/>
          <w:color w:val="000000" w:themeColor="text1"/>
        </w:rPr>
        <w:t xml:space="preserve"> de 202</w:t>
      </w:r>
      <w:r w:rsidR="00165E0A" w:rsidRPr="00354A6E">
        <w:rPr>
          <w:rFonts w:ascii="AvantGarde Bk BT" w:eastAsia="Questrial" w:hAnsi="AvantGarde Bk BT" w:cs="Arial"/>
          <w:color w:val="000000" w:themeColor="text1"/>
        </w:rPr>
        <w:t>2</w:t>
      </w:r>
    </w:p>
    <w:p w:rsidR="00B50417" w:rsidRPr="00354A6E" w:rsidRDefault="00B50417" w:rsidP="00B50417">
      <w:pPr>
        <w:ind w:left="0" w:hanging="2"/>
        <w:jc w:val="center"/>
        <w:rPr>
          <w:rFonts w:ascii="AvantGarde Bk BT" w:eastAsia="Questrial" w:hAnsi="AvantGarde Bk BT" w:cs="Arial"/>
          <w:color w:val="000000" w:themeColor="text1"/>
        </w:rPr>
      </w:pPr>
      <w:r w:rsidRPr="00354A6E">
        <w:rPr>
          <w:rFonts w:ascii="AvantGarde Bk BT" w:eastAsia="Questrial" w:hAnsi="AvantGarde Bk BT" w:cs="Arial"/>
          <w:color w:val="000000" w:themeColor="text1"/>
        </w:rPr>
        <w:t xml:space="preserve">Comisiones Permanentes de Educación y de Normatividad </w:t>
      </w:r>
    </w:p>
    <w:p w:rsidR="00B50417" w:rsidRPr="00354A6E" w:rsidRDefault="00B50417" w:rsidP="00B50417">
      <w:pPr>
        <w:keepNext/>
        <w:widowControl w:val="0"/>
        <w:pBdr>
          <w:top w:val="nil"/>
          <w:left w:val="nil"/>
          <w:bottom w:val="nil"/>
          <w:right w:val="nil"/>
          <w:between w:val="nil"/>
        </w:pBdr>
        <w:spacing w:line="240" w:lineRule="auto"/>
        <w:ind w:left="0" w:hanging="2"/>
        <w:jc w:val="center"/>
        <w:rPr>
          <w:rFonts w:ascii="AvantGarde Bk BT" w:eastAsia="Questrial" w:hAnsi="AvantGarde Bk BT" w:cs="Arial"/>
          <w:color w:val="000000" w:themeColor="text1"/>
        </w:rPr>
      </w:pPr>
    </w:p>
    <w:p w:rsidR="00B50417" w:rsidRPr="00354A6E" w:rsidRDefault="00B50417" w:rsidP="00B50417">
      <w:pPr>
        <w:ind w:left="0" w:hanging="2"/>
        <w:jc w:val="center"/>
        <w:rPr>
          <w:rFonts w:ascii="AvantGarde Bk BT" w:eastAsia="Questrial" w:hAnsi="AvantGarde Bk BT" w:cs="Arial"/>
          <w:color w:val="000000" w:themeColor="text1"/>
        </w:rPr>
      </w:pPr>
    </w:p>
    <w:p w:rsidR="00B50417" w:rsidRPr="00354A6E" w:rsidRDefault="00B50417" w:rsidP="00B50417">
      <w:pPr>
        <w:spacing w:line="240" w:lineRule="auto"/>
        <w:ind w:left="0" w:hanging="2"/>
        <w:jc w:val="center"/>
        <w:rPr>
          <w:rFonts w:ascii="AvantGarde Bk BT" w:eastAsia="Arial" w:hAnsi="AvantGarde Bk BT" w:cs="Arial"/>
          <w:b/>
          <w:color w:val="000000" w:themeColor="text1"/>
        </w:rPr>
      </w:pPr>
      <w:r w:rsidRPr="00354A6E">
        <w:rPr>
          <w:rFonts w:ascii="AvantGarde Bk BT" w:eastAsia="Arial" w:hAnsi="AvantGarde Bk BT" w:cs="Arial"/>
          <w:b/>
          <w:color w:val="000000" w:themeColor="text1"/>
        </w:rPr>
        <w:t>Dr. Ricardo Villanueva Lomelí</w:t>
      </w:r>
    </w:p>
    <w:p w:rsidR="00B50417" w:rsidRPr="00354A6E" w:rsidRDefault="00B50417" w:rsidP="00B50417">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Presidente</w:t>
      </w:r>
    </w:p>
    <w:tbl>
      <w:tblPr>
        <w:tblW w:w="9782" w:type="dxa"/>
        <w:tblInd w:w="-289" w:type="dxa"/>
        <w:tblLayout w:type="fixed"/>
        <w:tblLook w:val="0400" w:firstRow="0" w:lastRow="0" w:firstColumn="0" w:lastColumn="0" w:noHBand="0" w:noVBand="1"/>
      </w:tblPr>
      <w:tblGrid>
        <w:gridCol w:w="4679"/>
        <w:gridCol w:w="5103"/>
      </w:tblGrid>
      <w:tr w:rsidR="00B50417" w:rsidRPr="00354A6E" w:rsidTr="00C70601">
        <w:trPr>
          <w:trHeight w:val="562"/>
        </w:trPr>
        <w:tc>
          <w:tcPr>
            <w:tcW w:w="4679" w:type="dxa"/>
            <w:vAlign w:val="center"/>
          </w:tcPr>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 xml:space="preserve">Dr. Juan Manuel Durán Juárez </w:t>
            </w:r>
          </w:p>
        </w:tc>
        <w:tc>
          <w:tcPr>
            <w:tcW w:w="5103" w:type="dxa"/>
          </w:tcPr>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Pr="00354A6E" w:rsidRDefault="002E4534" w:rsidP="00112AE3">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Dr</w:t>
            </w:r>
            <w:r w:rsidR="00B50417" w:rsidRPr="00354A6E">
              <w:rPr>
                <w:rFonts w:ascii="AvantGarde Bk BT" w:eastAsia="Arial" w:hAnsi="AvantGarde Bk BT" w:cs="Arial"/>
                <w:color w:val="000000" w:themeColor="text1"/>
              </w:rPr>
              <w:t xml:space="preserve">. Salvador </w:t>
            </w:r>
            <w:r w:rsidR="00C93E95" w:rsidRPr="00354A6E">
              <w:rPr>
                <w:rFonts w:ascii="AvantGarde Bk BT" w:eastAsia="Arial" w:hAnsi="AvantGarde Bk BT" w:cs="Arial"/>
                <w:color w:val="000000" w:themeColor="text1"/>
              </w:rPr>
              <w:t>Mena</w:t>
            </w:r>
            <w:r w:rsidR="00B50417" w:rsidRPr="00354A6E">
              <w:rPr>
                <w:rFonts w:ascii="AvantGarde Bk BT" w:eastAsia="Arial" w:hAnsi="AvantGarde Bk BT" w:cs="Arial"/>
                <w:color w:val="000000" w:themeColor="text1"/>
              </w:rPr>
              <w:t xml:space="preserve"> Munguía</w:t>
            </w:r>
          </w:p>
        </w:tc>
      </w:tr>
      <w:tr w:rsidR="00B50417" w:rsidRPr="00354A6E" w:rsidTr="00C70601">
        <w:trPr>
          <w:trHeight w:val="495"/>
        </w:trPr>
        <w:tc>
          <w:tcPr>
            <w:tcW w:w="4679" w:type="dxa"/>
            <w:vAlign w:val="center"/>
          </w:tcPr>
          <w:p w:rsidR="00B50417" w:rsidRDefault="00B50417" w:rsidP="00815AC8">
            <w:pPr>
              <w:spacing w:line="240" w:lineRule="auto"/>
              <w:ind w:leftChars="0" w:left="0" w:firstLineChars="0" w:firstLine="0"/>
              <w:rPr>
                <w:rFonts w:ascii="AvantGarde Bk BT" w:eastAsia="Arial" w:hAnsi="AvantGarde Bk BT" w:cs="Arial"/>
                <w:color w:val="000000" w:themeColor="text1"/>
              </w:rPr>
            </w:pPr>
          </w:p>
          <w:p w:rsidR="00354A6E" w:rsidRPr="00354A6E" w:rsidRDefault="00354A6E" w:rsidP="00815AC8">
            <w:pPr>
              <w:spacing w:line="240" w:lineRule="auto"/>
              <w:ind w:leftChars="0" w:left="0" w:firstLineChars="0" w:firstLine="0"/>
              <w:rPr>
                <w:rFonts w:ascii="AvantGarde Bk BT" w:eastAsia="Arial" w:hAnsi="AvantGarde Bk BT" w:cs="Arial"/>
                <w:color w:val="000000" w:themeColor="text1"/>
              </w:rPr>
            </w:pPr>
          </w:p>
          <w:p w:rsidR="00815AC8" w:rsidRPr="00354A6E" w:rsidRDefault="00815AC8" w:rsidP="00815AC8">
            <w:pPr>
              <w:spacing w:line="240" w:lineRule="auto"/>
              <w:ind w:leftChars="0" w:left="0" w:firstLineChars="0" w:firstLine="0"/>
              <w:rPr>
                <w:rFonts w:ascii="AvantGarde Bk BT" w:eastAsia="Arial" w:hAnsi="AvantGarde Bk BT" w:cs="Arial"/>
                <w:color w:val="000000" w:themeColor="text1"/>
              </w:rPr>
            </w:pPr>
          </w:p>
          <w:p w:rsidR="00B50417" w:rsidRPr="00354A6E" w:rsidRDefault="00815AC8" w:rsidP="00815AC8">
            <w:pPr>
              <w:spacing w:line="240" w:lineRule="auto"/>
              <w:ind w:left="0" w:hanging="2"/>
              <w:jc w:val="center"/>
              <w:rPr>
                <w:rFonts w:ascii="AvantGarde Bk BT" w:eastAsia="Arial" w:hAnsi="AvantGarde Bk BT" w:cs="Arial"/>
                <w:color w:val="000000" w:themeColor="text1"/>
                <w:u w:val="single"/>
              </w:rPr>
            </w:pPr>
            <w:r w:rsidRPr="00354A6E">
              <w:rPr>
                <w:rFonts w:ascii="AvantGarde Bk BT" w:eastAsia="Arial" w:hAnsi="AvantGarde Bk BT" w:cs="Arial"/>
                <w:color w:val="000000" w:themeColor="text1"/>
              </w:rPr>
              <w:t>Dr. Jaime Federico Andrade Villanueva</w:t>
            </w:r>
          </w:p>
        </w:tc>
        <w:tc>
          <w:tcPr>
            <w:tcW w:w="5103" w:type="dxa"/>
          </w:tcPr>
          <w:p w:rsidR="00815AC8" w:rsidRPr="00354A6E" w:rsidRDefault="00815AC8" w:rsidP="00815AC8">
            <w:pPr>
              <w:spacing w:line="240" w:lineRule="auto"/>
              <w:ind w:leftChars="0" w:left="0" w:firstLineChars="0" w:firstLine="0"/>
              <w:rPr>
                <w:rFonts w:ascii="AvantGarde Bk BT" w:eastAsia="Arial" w:hAnsi="AvantGarde Bk BT" w:cs="Arial"/>
                <w:color w:val="000000" w:themeColor="text1"/>
              </w:rPr>
            </w:pPr>
          </w:p>
          <w:p w:rsidR="00815AC8" w:rsidRDefault="00815AC8" w:rsidP="00815AC8">
            <w:pPr>
              <w:spacing w:line="240" w:lineRule="auto"/>
              <w:ind w:leftChars="0" w:left="0" w:firstLineChars="0" w:firstLine="0"/>
              <w:rPr>
                <w:rFonts w:ascii="AvantGarde Bk BT" w:eastAsia="Arial" w:hAnsi="AvantGarde Bk BT" w:cs="Arial"/>
                <w:color w:val="000000" w:themeColor="text1"/>
              </w:rPr>
            </w:pPr>
          </w:p>
          <w:p w:rsidR="00354A6E" w:rsidRPr="00354A6E" w:rsidRDefault="00354A6E" w:rsidP="00815AC8">
            <w:pPr>
              <w:spacing w:line="240" w:lineRule="auto"/>
              <w:ind w:leftChars="0" w:left="0" w:firstLineChars="0" w:firstLine="0"/>
              <w:rPr>
                <w:rFonts w:ascii="AvantGarde Bk BT" w:eastAsia="Arial" w:hAnsi="AvantGarde Bk BT" w:cs="Arial"/>
                <w:color w:val="000000" w:themeColor="text1"/>
              </w:rPr>
            </w:pPr>
          </w:p>
          <w:p w:rsidR="00B50417" w:rsidRPr="00354A6E" w:rsidRDefault="00B50417" w:rsidP="00815AC8">
            <w:pPr>
              <w:spacing w:line="240" w:lineRule="auto"/>
              <w:ind w:leftChars="0" w:left="0" w:firstLineChars="0" w:firstLine="0"/>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Dr. Carlos Ramiro Ruíz Moreno</w:t>
            </w:r>
          </w:p>
        </w:tc>
      </w:tr>
      <w:tr w:rsidR="00B50417" w:rsidRPr="00354A6E" w:rsidTr="00C70601">
        <w:trPr>
          <w:trHeight w:val="574"/>
        </w:trPr>
        <w:tc>
          <w:tcPr>
            <w:tcW w:w="4679" w:type="dxa"/>
            <w:vAlign w:val="center"/>
          </w:tcPr>
          <w:p w:rsidR="00B50417" w:rsidRPr="00354A6E" w:rsidRDefault="00B50417" w:rsidP="00112AE3">
            <w:pPr>
              <w:spacing w:line="240" w:lineRule="auto"/>
              <w:ind w:leftChars="0" w:left="0" w:firstLineChars="0" w:firstLine="0"/>
              <w:rPr>
                <w:rFonts w:ascii="AvantGarde Bk BT" w:eastAsia="Arial" w:hAnsi="AvantGarde Bk BT" w:cs="Arial"/>
                <w:color w:val="000000" w:themeColor="text1"/>
              </w:rPr>
            </w:pPr>
          </w:p>
          <w:p w:rsidR="00B50417" w:rsidRDefault="00B50417" w:rsidP="00112AE3">
            <w:pPr>
              <w:spacing w:line="240" w:lineRule="auto"/>
              <w:ind w:left="0" w:hanging="2"/>
              <w:jc w:val="center"/>
              <w:rPr>
                <w:rFonts w:ascii="AvantGarde Bk BT" w:eastAsia="Arial" w:hAnsi="AvantGarde Bk BT" w:cs="Arial"/>
                <w:color w:val="000000" w:themeColor="text1"/>
              </w:rPr>
            </w:pPr>
          </w:p>
          <w:p w:rsidR="00354A6E" w:rsidRPr="00354A6E" w:rsidRDefault="00354A6E"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 xml:space="preserve">Dra. Karla Alejandrina </w:t>
            </w:r>
            <w:proofErr w:type="spellStart"/>
            <w:r w:rsidRPr="00354A6E">
              <w:rPr>
                <w:rFonts w:ascii="AvantGarde Bk BT" w:eastAsia="Arial" w:hAnsi="AvantGarde Bk BT" w:cs="Arial"/>
                <w:color w:val="000000" w:themeColor="text1"/>
              </w:rPr>
              <w:t>Planter</w:t>
            </w:r>
            <w:proofErr w:type="spellEnd"/>
            <w:r w:rsidRPr="00354A6E">
              <w:rPr>
                <w:rFonts w:ascii="AvantGarde Bk BT" w:eastAsia="Arial" w:hAnsi="AvantGarde Bk BT" w:cs="Arial"/>
                <w:color w:val="000000" w:themeColor="text1"/>
              </w:rPr>
              <w:t xml:space="preserve"> Pérez</w:t>
            </w:r>
          </w:p>
        </w:tc>
        <w:tc>
          <w:tcPr>
            <w:tcW w:w="5103" w:type="dxa"/>
          </w:tcPr>
          <w:p w:rsidR="00B50417" w:rsidRDefault="00B50417" w:rsidP="00112AE3">
            <w:pPr>
              <w:spacing w:line="240" w:lineRule="auto"/>
              <w:ind w:left="0" w:hanging="2"/>
              <w:jc w:val="center"/>
              <w:rPr>
                <w:rFonts w:ascii="AvantGarde Bk BT" w:eastAsia="Arial" w:hAnsi="AvantGarde Bk BT" w:cs="Arial"/>
                <w:color w:val="000000" w:themeColor="text1"/>
              </w:rPr>
            </w:pPr>
          </w:p>
          <w:p w:rsidR="00354A6E" w:rsidRPr="00354A6E" w:rsidRDefault="00354A6E"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Mtra. Claudia Karina Castellanos Gutiérrez</w:t>
            </w:r>
          </w:p>
        </w:tc>
      </w:tr>
      <w:tr w:rsidR="00B50417" w:rsidRPr="00354A6E" w:rsidTr="00C70601">
        <w:trPr>
          <w:trHeight w:val="554"/>
        </w:trPr>
        <w:tc>
          <w:tcPr>
            <w:tcW w:w="4679" w:type="dxa"/>
            <w:vAlign w:val="center"/>
          </w:tcPr>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Default="00B50417" w:rsidP="00112AE3">
            <w:pPr>
              <w:spacing w:line="240" w:lineRule="auto"/>
              <w:ind w:left="0" w:hanging="2"/>
              <w:jc w:val="center"/>
              <w:rPr>
                <w:rFonts w:ascii="AvantGarde Bk BT" w:eastAsia="Arial" w:hAnsi="AvantGarde Bk BT" w:cs="Arial"/>
                <w:color w:val="000000" w:themeColor="text1"/>
              </w:rPr>
            </w:pPr>
          </w:p>
          <w:p w:rsidR="00354A6E" w:rsidRPr="00354A6E" w:rsidRDefault="00354A6E"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C. Daniel Cortés Largo</w:t>
            </w:r>
          </w:p>
        </w:tc>
        <w:tc>
          <w:tcPr>
            <w:tcW w:w="5103" w:type="dxa"/>
          </w:tcPr>
          <w:p w:rsidR="00B50417" w:rsidRPr="00354A6E" w:rsidRDefault="00B50417" w:rsidP="00112AE3">
            <w:pPr>
              <w:spacing w:line="240" w:lineRule="auto"/>
              <w:ind w:left="0" w:hanging="2"/>
              <w:jc w:val="center"/>
              <w:rPr>
                <w:rFonts w:ascii="AvantGarde Bk BT" w:eastAsia="Arial" w:hAnsi="AvantGarde Bk BT" w:cs="Arial"/>
                <w:color w:val="000000" w:themeColor="text1"/>
              </w:rPr>
            </w:pPr>
          </w:p>
          <w:p w:rsidR="00B50417" w:rsidRDefault="00B50417" w:rsidP="00112AE3">
            <w:pPr>
              <w:spacing w:line="240" w:lineRule="auto"/>
              <w:ind w:left="0" w:hanging="2"/>
              <w:jc w:val="center"/>
              <w:rPr>
                <w:rFonts w:ascii="AvantGarde Bk BT" w:eastAsia="Arial" w:hAnsi="AvantGarde Bk BT" w:cs="Arial"/>
                <w:color w:val="000000" w:themeColor="text1"/>
              </w:rPr>
            </w:pPr>
          </w:p>
          <w:p w:rsidR="00354A6E" w:rsidRPr="00354A6E" w:rsidRDefault="00354A6E" w:rsidP="00112AE3">
            <w:pPr>
              <w:spacing w:line="240" w:lineRule="auto"/>
              <w:ind w:left="0" w:hanging="2"/>
              <w:jc w:val="center"/>
              <w:rPr>
                <w:rFonts w:ascii="AvantGarde Bk BT" w:eastAsia="Arial" w:hAnsi="AvantGarde Bk BT" w:cs="Arial"/>
                <w:color w:val="000000" w:themeColor="text1"/>
              </w:rPr>
            </w:pPr>
          </w:p>
          <w:p w:rsidR="00B50417" w:rsidRPr="00354A6E" w:rsidRDefault="00B50417" w:rsidP="00112AE3">
            <w:pPr>
              <w:spacing w:line="240" w:lineRule="auto"/>
              <w:ind w:left="0" w:hanging="2"/>
              <w:jc w:val="center"/>
              <w:rPr>
                <w:rFonts w:ascii="AvantGarde Bk BT" w:eastAsia="Arial" w:hAnsi="AvantGarde Bk BT" w:cs="Arial"/>
                <w:color w:val="000000" w:themeColor="text1"/>
              </w:rPr>
            </w:pPr>
            <w:r w:rsidRPr="00354A6E">
              <w:rPr>
                <w:rFonts w:ascii="AvantGarde Bk BT" w:eastAsia="Arial" w:hAnsi="AvantGarde Bk BT" w:cs="Arial"/>
                <w:color w:val="000000" w:themeColor="text1"/>
              </w:rPr>
              <w:t>C. Fernanda Citlalli Romero Delgado</w:t>
            </w:r>
          </w:p>
        </w:tc>
      </w:tr>
    </w:tbl>
    <w:p w:rsidR="00B50417" w:rsidRPr="00354A6E" w:rsidRDefault="00B50417" w:rsidP="00B50417">
      <w:pPr>
        <w:spacing w:line="240" w:lineRule="auto"/>
        <w:ind w:left="0" w:hanging="2"/>
        <w:jc w:val="center"/>
        <w:rPr>
          <w:rFonts w:ascii="AvantGarde Bk BT" w:eastAsia="Arial" w:hAnsi="AvantGarde Bk BT" w:cs="Arial"/>
          <w:b/>
          <w:color w:val="000000" w:themeColor="text1"/>
        </w:rPr>
      </w:pPr>
    </w:p>
    <w:p w:rsidR="00B50417" w:rsidRPr="00354A6E" w:rsidRDefault="00B50417" w:rsidP="00B50417">
      <w:pPr>
        <w:spacing w:line="240" w:lineRule="auto"/>
        <w:ind w:left="0" w:hanging="2"/>
        <w:jc w:val="center"/>
        <w:rPr>
          <w:rFonts w:ascii="AvantGarde Bk BT" w:eastAsia="Arial" w:hAnsi="AvantGarde Bk BT" w:cs="Arial"/>
          <w:b/>
          <w:color w:val="000000" w:themeColor="text1"/>
        </w:rPr>
      </w:pPr>
    </w:p>
    <w:p w:rsidR="00B50417" w:rsidRPr="00354A6E" w:rsidRDefault="00B50417" w:rsidP="00B50417">
      <w:pPr>
        <w:spacing w:line="240" w:lineRule="auto"/>
        <w:ind w:left="0" w:hanging="2"/>
        <w:jc w:val="center"/>
        <w:rPr>
          <w:rFonts w:ascii="AvantGarde Bk BT" w:eastAsia="Arial" w:hAnsi="AvantGarde Bk BT" w:cs="Arial"/>
          <w:b/>
          <w:color w:val="000000" w:themeColor="text1"/>
        </w:rPr>
      </w:pPr>
    </w:p>
    <w:p w:rsidR="00B50417" w:rsidRPr="00354A6E" w:rsidRDefault="00B50417" w:rsidP="00B50417">
      <w:pPr>
        <w:spacing w:line="240" w:lineRule="auto"/>
        <w:ind w:left="0" w:hanging="2"/>
        <w:jc w:val="center"/>
        <w:rPr>
          <w:rFonts w:ascii="AvantGarde Bk BT" w:eastAsia="Arial" w:hAnsi="AvantGarde Bk BT" w:cs="Arial"/>
          <w:b/>
          <w:color w:val="000000" w:themeColor="text1"/>
        </w:rPr>
      </w:pPr>
      <w:r w:rsidRPr="00354A6E">
        <w:rPr>
          <w:rFonts w:ascii="AvantGarde Bk BT" w:eastAsia="Arial" w:hAnsi="AvantGarde Bk BT" w:cs="Arial"/>
          <w:b/>
          <w:color w:val="000000" w:themeColor="text1"/>
        </w:rPr>
        <w:t>Mtro. Guillermo Arturo Gómez Mata</w:t>
      </w:r>
    </w:p>
    <w:p w:rsidR="00082F72" w:rsidRPr="00B50417" w:rsidRDefault="00B50417" w:rsidP="00354A6E">
      <w:pPr>
        <w:spacing w:line="240" w:lineRule="auto"/>
        <w:ind w:left="0" w:hanging="2"/>
        <w:jc w:val="center"/>
        <w:rPr>
          <w:color w:val="000000" w:themeColor="text1"/>
        </w:rPr>
      </w:pPr>
      <w:r w:rsidRPr="00354A6E">
        <w:rPr>
          <w:rFonts w:ascii="AvantGarde Bk BT" w:eastAsia="Arial" w:hAnsi="AvantGarde Bk BT" w:cs="Arial"/>
          <w:color w:val="000000" w:themeColor="text1"/>
        </w:rPr>
        <w:t>Secretario de Actas y Acuerdos</w:t>
      </w:r>
    </w:p>
    <w:sectPr w:rsidR="00082F72" w:rsidRPr="00B50417" w:rsidSect="00A413F3">
      <w:headerReference w:type="even" r:id="rId7"/>
      <w:headerReference w:type="default" r:id="rId8"/>
      <w:footerReference w:type="even" r:id="rId9"/>
      <w:footerReference w:type="default" r:id="rId10"/>
      <w:headerReference w:type="first" r:id="rId11"/>
      <w:footerReference w:type="first" r:id="rId12"/>
      <w:pgSz w:w="12240" w:h="15840"/>
      <w:pgMar w:top="2693"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83" w:rsidRDefault="006F1A83" w:rsidP="00082F72">
      <w:pPr>
        <w:spacing w:line="240" w:lineRule="auto"/>
        <w:ind w:left="0" w:hanging="2"/>
      </w:pPr>
      <w:r>
        <w:separator/>
      </w:r>
    </w:p>
  </w:endnote>
  <w:endnote w:type="continuationSeparator" w:id="0">
    <w:p w:rsidR="006F1A83" w:rsidRDefault="006F1A83" w:rsidP="00082F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F1A83" w:rsidP="006057C7">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64016"/>
      <w:docPartObj>
        <w:docPartGallery w:val="Page Numbers (Bottom of Page)"/>
        <w:docPartUnique/>
      </w:docPartObj>
    </w:sdtPr>
    <w:sdtContent>
      <w:sdt>
        <w:sdtPr>
          <w:id w:val="1728636285"/>
          <w:docPartObj>
            <w:docPartGallery w:val="Page Numbers (Top of Page)"/>
            <w:docPartUnique/>
          </w:docPartObj>
        </w:sdtPr>
        <w:sdtContent>
          <w:p w:rsidR="00F22AD8" w:rsidRPr="00F22AD8" w:rsidRDefault="00F22AD8">
            <w:pPr>
              <w:pStyle w:val="Piedepgina"/>
              <w:ind w:left="0" w:hanging="2"/>
              <w:jc w:val="center"/>
              <w:rPr>
                <w:rFonts w:ascii="Arial" w:hAnsi="Arial" w:cs="Arial"/>
                <w:b/>
                <w:bCs/>
                <w:sz w:val="14"/>
                <w:szCs w:val="14"/>
              </w:rPr>
            </w:pPr>
            <w:r w:rsidRPr="00F22AD8">
              <w:rPr>
                <w:rFonts w:ascii="Arial" w:hAnsi="Arial" w:cs="Arial"/>
                <w:sz w:val="14"/>
                <w:szCs w:val="14"/>
              </w:rPr>
              <w:t xml:space="preserve">Página </w:t>
            </w:r>
            <w:r w:rsidRPr="00F22AD8">
              <w:rPr>
                <w:rFonts w:ascii="Arial" w:hAnsi="Arial" w:cs="Arial"/>
                <w:b/>
                <w:bCs/>
                <w:sz w:val="14"/>
                <w:szCs w:val="14"/>
              </w:rPr>
              <w:fldChar w:fldCharType="begin"/>
            </w:r>
            <w:r w:rsidRPr="00F22AD8">
              <w:rPr>
                <w:rFonts w:ascii="Arial" w:hAnsi="Arial" w:cs="Arial"/>
                <w:b/>
                <w:bCs/>
                <w:sz w:val="14"/>
                <w:szCs w:val="14"/>
              </w:rPr>
              <w:instrText>PAGE</w:instrText>
            </w:r>
            <w:r w:rsidRPr="00F22AD8">
              <w:rPr>
                <w:rFonts w:ascii="Arial" w:hAnsi="Arial" w:cs="Arial"/>
                <w:b/>
                <w:bCs/>
                <w:sz w:val="14"/>
                <w:szCs w:val="14"/>
              </w:rPr>
              <w:fldChar w:fldCharType="separate"/>
            </w:r>
            <w:r w:rsidR="00A0223C">
              <w:rPr>
                <w:rFonts w:ascii="Arial" w:hAnsi="Arial" w:cs="Arial"/>
                <w:b/>
                <w:bCs/>
                <w:noProof/>
                <w:sz w:val="14"/>
                <w:szCs w:val="14"/>
              </w:rPr>
              <w:t>1</w:t>
            </w:r>
            <w:r w:rsidRPr="00F22AD8">
              <w:rPr>
                <w:rFonts w:ascii="Arial" w:hAnsi="Arial" w:cs="Arial"/>
                <w:b/>
                <w:bCs/>
                <w:sz w:val="14"/>
                <w:szCs w:val="14"/>
              </w:rPr>
              <w:fldChar w:fldCharType="end"/>
            </w:r>
            <w:r w:rsidRPr="00F22AD8">
              <w:rPr>
                <w:rFonts w:ascii="Arial" w:hAnsi="Arial" w:cs="Arial"/>
                <w:sz w:val="14"/>
                <w:szCs w:val="14"/>
              </w:rPr>
              <w:t xml:space="preserve"> de </w:t>
            </w:r>
            <w:r w:rsidRPr="00F22AD8">
              <w:rPr>
                <w:rFonts w:ascii="Arial" w:hAnsi="Arial" w:cs="Arial"/>
                <w:b/>
                <w:bCs/>
                <w:sz w:val="14"/>
                <w:szCs w:val="14"/>
              </w:rPr>
              <w:fldChar w:fldCharType="begin"/>
            </w:r>
            <w:r w:rsidRPr="00F22AD8">
              <w:rPr>
                <w:rFonts w:ascii="Arial" w:hAnsi="Arial" w:cs="Arial"/>
                <w:b/>
                <w:bCs/>
                <w:sz w:val="14"/>
                <w:szCs w:val="14"/>
              </w:rPr>
              <w:instrText>NUMPAGES</w:instrText>
            </w:r>
            <w:r w:rsidRPr="00F22AD8">
              <w:rPr>
                <w:rFonts w:ascii="Arial" w:hAnsi="Arial" w:cs="Arial"/>
                <w:b/>
                <w:bCs/>
                <w:sz w:val="14"/>
                <w:szCs w:val="14"/>
              </w:rPr>
              <w:fldChar w:fldCharType="separate"/>
            </w:r>
            <w:r w:rsidR="00A0223C">
              <w:rPr>
                <w:rFonts w:ascii="Arial" w:hAnsi="Arial" w:cs="Arial"/>
                <w:b/>
                <w:bCs/>
                <w:noProof/>
                <w:sz w:val="14"/>
                <w:szCs w:val="14"/>
              </w:rPr>
              <w:t>8</w:t>
            </w:r>
            <w:r w:rsidRPr="00F22AD8">
              <w:rPr>
                <w:rFonts w:ascii="Arial" w:hAnsi="Arial" w:cs="Arial"/>
                <w:b/>
                <w:bCs/>
                <w:sz w:val="14"/>
                <w:szCs w:val="14"/>
              </w:rPr>
              <w:fldChar w:fldCharType="end"/>
            </w:r>
          </w:p>
          <w:p w:rsidR="00F22AD8" w:rsidRPr="00C85DA2" w:rsidRDefault="00F22AD8" w:rsidP="00F22AD8">
            <w:pPr>
              <w:pStyle w:val="Piedepgina"/>
              <w:spacing w:line="276" w:lineRule="auto"/>
              <w:ind w:left="0" w:hanging="2"/>
              <w:jc w:val="center"/>
              <w:rPr>
                <w:sz w:val="17"/>
                <w:szCs w:val="17"/>
              </w:rPr>
            </w:pPr>
            <w:r w:rsidRPr="00C85DA2">
              <w:rPr>
                <w:sz w:val="17"/>
                <w:szCs w:val="17"/>
              </w:rPr>
              <w:t>Av. Juárez No. 976, Edificio de la Rectoría General, Piso 5, Colonia Centro C.P. 44100.</w:t>
            </w:r>
          </w:p>
          <w:p w:rsidR="00F22AD8" w:rsidRPr="00C85DA2" w:rsidRDefault="00F22AD8" w:rsidP="00F22AD8">
            <w:pPr>
              <w:pStyle w:val="Piedepgina"/>
              <w:spacing w:line="276" w:lineRule="auto"/>
              <w:ind w:left="0" w:hanging="2"/>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F22AD8" w:rsidRDefault="00F22AD8" w:rsidP="00F22AD8">
            <w:pPr>
              <w:pStyle w:val="Piedepgina"/>
              <w:ind w:left="0" w:hanging="2"/>
              <w:jc w:val="center"/>
            </w:pPr>
            <w:r>
              <w:rPr>
                <w:b/>
                <w:sz w:val="17"/>
                <w:szCs w:val="17"/>
              </w:rPr>
              <w:t>www.hcgu</w:t>
            </w:r>
            <w:r w:rsidRPr="00C85DA2">
              <w:rPr>
                <w:b/>
                <w:sz w:val="17"/>
                <w:szCs w:val="17"/>
              </w:rPr>
              <w:t>.udg.mx</w:t>
            </w:r>
          </w:p>
        </w:sdtContent>
      </w:sdt>
    </w:sdtContent>
  </w:sdt>
  <w:p w:rsidR="00270C3E" w:rsidRDefault="006F1A83">
    <w:pPr>
      <w:pBdr>
        <w:top w:val="nil"/>
        <w:left w:val="nil"/>
        <w:bottom w:val="nil"/>
        <w:right w:val="nil"/>
        <w:between w:val="nil"/>
      </w:pBdr>
      <w:spacing w:line="276" w:lineRule="auto"/>
      <w:ind w:left="0" w:hanging="2"/>
      <w:jc w:val="center"/>
      <w:rPr>
        <w:color w:val="000000"/>
        <w:sz w:val="17"/>
        <w:szCs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F1A83" w:rsidP="006057C7">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83" w:rsidRDefault="006F1A83" w:rsidP="00082F72">
      <w:pPr>
        <w:spacing w:line="240" w:lineRule="auto"/>
        <w:ind w:left="0" w:hanging="2"/>
      </w:pPr>
      <w:r>
        <w:separator/>
      </w:r>
    </w:p>
  </w:footnote>
  <w:footnote w:type="continuationSeparator" w:id="0">
    <w:p w:rsidR="006F1A83" w:rsidRDefault="006F1A83" w:rsidP="00082F72">
      <w:pPr>
        <w:spacing w:line="240" w:lineRule="auto"/>
        <w:ind w:left="0" w:hanging="2"/>
      </w:pPr>
      <w:r>
        <w:continuationSeparator/>
      </w:r>
    </w:p>
  </w:footnote>
  <w:footnote w:id="1">
    <w:p w:rsidR="00B50417" w:rsidRPr="00853AB3" w:rsidRDefault="00B50417" w:rsidP="00B50417">
      <w:pPr>
        <w:pStyle w:val="Textonotapie"/>
        <w:jc w:val="both"/>
        <w:rPr>
          <w:rFonts w:ascii="Arial" w:hAnsi="Arial" w:cs="Arial"/>
          <w:sz w:val="12"/>
          <w:szCs w:val="16"/>
        </w:rPr>
      </w:pPr>
      <w:r w:rsidRPr="00853AB3">
        <w:rPr>
          <w:rStyle w:val="Refdenotaalpie"/>
          <w:rFonts w:ascii="Arial" w:hAnsi="Arial" w:cs="Arial"/>
          <w:sz w:val="12"/>
          <w:szCs w:val="16"/>
        </w:rPr>
        <w:footnoteRef/>
      </w:r>
      <w:r w:rsidRPr="00853AB3">
        <w:rPr>
          <w:rFonts w:ascii="Arial" w:hAnsi="Arial" w:cs="Arial"/>
          <w:sz w:val="12"/>
          <w:szCs w:val="16"/>
        </w:rPr>
        <w:t xml:space="preserve"> Hace referencia a la reingeniería administrativa de la Universidad de Guadalajara aprobada en su primera fase el 28 de febrero de 2020 bajo el Dictamen Núm. IV/2020/152 y a su segunda fase aprobada el 10 de junio de 2021 bajo el Dictamen Núm. IV/2021/498.</w:t>
      </w:r>
    </w:p>
  </w:footnote>
  <w:footnote w:id="2">
    <w:p w:rsidR="00B50417" w:rsidRPr="00853AB3" w:rsidRDefault="00B50417" w:rsidP="00B50417">
      <w:pPr>
        <w:pStyle w:val="Textonotapie"/>
        <w:jc w:val="both"/>
        <w:rPr>
          <w:rFonts w:ascii="Arial" w:hAnsi="Arial" w:cs="Arial"/>
          <w:sz w:val="12"/>
          <w:szCs w:val="16"/>
        </w:rPr>
      </w:pPr>
      <w:r w:rsidRPr="00853AB3">
        <w:rPr>
          <w:rStyle w:val="Refdenotaalpie"/>
          <w:rFonts w:ascii="Arial" w:hAnsi="Arial" w:cs="Arial"/>
          <w:sz w:val="12"/>
          <w:szCs w:val="16"/>
        </w:rPr>
        <w:footnoteRef/>
      </w:r>
      <w:r w:rsidRPr="00853AB3">
        <w:rPr>
          <w:rFonts w:ascii="Arial" w:hAnsi="Arial" w:cs="Arial"/>
          <w:sz w:val="12"/>
          <w:szCs w:val="16"/>
        </w:rPr>
        <w:t xml:space="preserve"> Organización de las Naciones Unidas para la Educación, la Ciencia y la Cultura (2020). La educación en un mundo tras la COVID: Nueve ideas para la acción pública. Comisión internacional sobre Los futuros de la educación. </w:t>
      </w:r>
      <w:hyperlink r:id="rId1" w:history="1">
        <w:r w:rsidRPr="00853AB3">
          <w:rPr>
            <w:rStyle w:val="Hipervnculo"/>
            <w:rFonts w:ascii="Arial" w:hAnsi="Arial" w:cs="Arial"/>
            <w:sz w:val="12"/>
            <w:szCs w:val="16"/>
          </w:rPr>
          <w:t>https://unesdoc.unesco.org/ark:/48223/pf0000373717_spa/PDF/373717spa.pdf.multi</w:t>
        </w:r>
      </w:hyperlink>
    </w:p>
  </w:footnote>
  <w:footnote w:id="3">
    <w:p w:rsidR="00B50417" w:rsidRDefault="00B50417" w:rsidP="00B50417">
      <w:pPr>
        <w:pStyle w:val="Textonotapie"/>
        <w:jc w:val="both"/>
        <w:rPr>
          <w:rStyle w:val="Hipervnculo"/>
          <w:rFonts w:ascii="Arial" w:hAnsi="Arial" w:cs="Arial"/>
          <w:sz w:val="12"/>
          <w:szCs w:val="16"/>
        </w:rPr>
      </w:pPr>
      <w:r w:rsidRPr="00853AB3">
        <w:rPr>
          <w:rStyle w:val="Refdenotaalpie"/>
          <w:rFonts w:ascii="Arial" w:hAnsi="Arial" w:cs="Arial"/>
          <w:sz w:val="12"/>
          <w:szCs w:val="16"/>
        </w:rPr>
        <w:footnoteRef/>
      </w:r>
      <w:r w:rsidRPr="00853AB3">
        <w:rPr>
          <w:rFonts w:ascii="Arial" w:hAnsi="Arial" w:cs="Arial"/>
          <w:sz w:val="12"/>
          <w:szCs w:val="16"/>
        </w:rPr>
        <w:t xml:space="preserve"> García, A. (2021). Lecturas para la Educación | El futuro de la educación: Edgar Morín. Instituto para el Futuro de la Educación del Tecnológico de Monterrey. </w:t>
      </w:r>
      <w:hyperlink r:id="rId2" w:history="1">
        <w:r w:rsidRPr="00853AB3">
          <w:rPr>
            <w:rStyle w:val="Hipervnculo"/>
            <w:rFonts w:ascii="Arial" w:hAnsi="Arial" w:cs="Arial"/>
            <w:sz w:val="12"/>
            <w:szCs w:val="16"/>
          </w:rPr>
          <w:t>https://observatorio.tec.mx/edu-news/lecturas-para-la-educacion-edgar-morin</w:t>
        </w:r>
      </w:hyperlink>
    </w:p>
    <w:p w:rsidR="00F22AD8" w:rsidRPr="00853AB3" w:rsidRDefault="00F22AD8" w:rsidP="00B50417">
      <w:pPr>
        <w:pStyle w:val="Textonotapie"/>
        <w:jc w:val="both"/>
        <w:rPr>
          <w:rFonts w:ascii="Arial" w:hAnsi="Arial" w:cs="Arial"/>
          <w:sz w:val="12"/>
          <w:szCs w:val="16"/>
        </w:rPr>
      </w:pPr>
    </w:p>
  </w:footnote>
  <w:footnote w:id="4">
    <w:p w:rsidR="00B50417" w:rsidRPr="00853AB3" w:rsidRDefault="00B50417" w:rsidP="00B50417">
      <w:pPr>
        <w:pStyle w:val="Textonotapie"/>
        <w:jc w:val="both"/>
        <w:rPr>
          <w:rFonts w:ascii="Arial" w:hAnsi="Arial" w:cs="Arial"/>
          <w:sz w:val="12"/>
          <w:szCs w:val="16"/>
        </w:rPr>
      </w:pPr>
      <w:r w:rsidRPr="00853AB3">
        <w:rPr>
          <w:rStyle w:val="Refdenotaalpie"/>
          <w:rFonts w:ascii="Arial" w:hAnsi="Arial" w:cs="Arial"/>
          <w:sz w:val="12"/>
          <w:szCs w:val="16"/>
        </w:rPr>
        <w:footnoteRef/>
      </w:r>
      <w:r w:rsidRPr="00853AB3">
        <w:rPr>
          <w:rFonts w:ascii="Arial" w:hAnsi="Arial" w:cs="Arial"/>
          <w:sz w:val="12"/>
          <w:szCs w:val="16"/>
        </w:rPr>
        <w:t xml:space="preserve"> Universidad de Chile (2020). Las diferencias entre el trabajo Multidisciplinario, Interdisciplinario y </w:t>
      </w:r>
      <w:proofErr w:type="spellStart"/>
      <w:r w:rsidRPr="00853AB3">
        <w:rPr>
          <w:rFonts w:ascii="Arial" w:hAnsi="Arial" w:cs="Arial"/>
          <w:sz w:val="12"/>
          <w:szCs w:val="16"/>
        </w:rPr>
        <w:t>Transdisciplinario</w:t>
      </w:r>
      <w:proofErr w:type="spellEnd"/>
      <w:r w:rsidRPr="00853AB3">
        <w:rPr>
          <w:rFonts w:ascii="Arial" w:hAnsi="Arial" w:cs="Arial"/>
          <w:sz w:val="12"/>
          <w:szCs w:val="16"/>
        </w:rPr>
        <w:t xml:space="preserve">. </w:t>
      </w:r>
      <w:hyperlink r:id="rId3" w:history="1">
        <w:r w:rsidRPr="00853AB3">
          <w:rPr>
            <w:rStyle w:val="Hipervnculo"/>
            <w:rFonts w:ascii="Arial" w:hAnsi="Arial" w:cs="Arial"/>
            <w:sz w:val="12"/>
            <w:szCs w:val="16"/>
          </w:rPr>
          <w:t>https://libros.uchile.cl/files/presses/1/monographs/1098/submission/proof/index.html</w:t>
        </w:r>
      </w:hyperlink>
    </w:p>
  </w:footnote>
  <w:footnote w:id="5">
    <w:p w:rsidR="00B50417" w:rsidRPr="00853AB3" w:rsidRDefault="00B50417" w:rsidP="00B50417">
      <w:pPr>
        <w:pStyle w:val="Textonotapie"/>
        <w:jc w:val="both"/>
        <w:rPr>
          <w:rFonts w:ascii="Arial" w:hAnsi="Arial" w:cs="Arial"/>
          <w:sz w:val="12"/>
          <w:szCs w:val="16"/>
        </w:rPr>
      </w:pPr>
      <w:r w:rsidRPr="00853AB3">
        <w:rPr>
          <w:rStyle w:val="Refdenotaalpie"/>
          <w:rFonts w:ascii="Arial" w:hAnsi="Arial" w:cs="Arial"/>
          <w:sz w:val="12"/>
          <w:szCs w:val="16"/>
        </w:rPr>
        <w:footnoteRef/>
      </w:r>
      <w:r w:rsidRPr="00853AB3">
        <w:rPr>
          <w:rFonts w:ascii="Arial" w:hAnsi="Arial" w:cs="Arial"/>
          <w:sz w:val="12"/>
          <w:szCs w:val="16"/>
        </w:rPr>
        <w:t xml:space="preserve"> Aguilar, N. &amp; Cifuentes, G. (2020). Rastreando ensamblajes y controversias en un ecosistema de innovación educativa. </w:t>
      </w:r>
      <w:hyperlink r:id="rId4" w:history="1">
        <w:r w:rsidRPr="00853AB3">
          <w:rPr>
            <w:rStyle w:val="Hipervnculo"/>
            <w:rFonts w:ascii="Arial" w:hAnsi="Arial" w:cs="Arial"/>
            <w:sz w:val="12"/>
            <w:szCs w:val="16"/>
          </w:rPr>
          <w:t>https://doi.org/10.1590/s0102-6992-202035030012</w:t>
        </w:r>
      </w:hyperlink>
    </w:p>
  </w:footnote>
  <w:footnote w:id="6">
    <w:p w:rsidR="00B50417" w:rsidRPr="00853AB3" w:rsidRDefault="00B50417" w:rsidP="00B50417">
      <w:pPr>
        <w:pStyle w:val="Textonotapie"/>
        <w:jc w:val="both"/>
        <w:rPr>
          <w:rFonts w:ascii="Arial" w:hAnsi="Arial" w:cs="Arial"/>
          <w:sz w:val="12"/>
          <w:szCs w:val="16"/>
        </w:rPr>
      </w:pPr>
      <w:r w:rsidRPr="00853AB3">
        <w:rPr>
          <w:rStyle w:val="Refdenotaalpie"/>
          <w:rFonts w:ascii="Arial" w:hAnsi="Arial" w:cs="Arial"/>
          <w:sz w:val="12"/>
          <w:szCs w:val="16"/>
        </w:rPr>
        <w:footnoteRef/>
      </w:r>
      <w:r w:rsidRPr="00853AB3">
        <w:rPr>
          <w:rFonts w:ascii="Arial" w:hAnsi="Arial" w:cs="Arial"/>
          <w:sz w:val="12"/>
          <w:szCs w:val="16"/>
        </w:rPr>
        <w:t xml:space="preserve"> García, A. (2021). Lecturas para la Educación | El futuro de la educación: Edgar Morín. Instituto para el Futuro de la Educación del Tecnológico de Monterrey. </w:t>
      </w:r>
      <w:hyperlink r:id="rId5" w:history="1">
        <w:r w:rsidRPr="00853AB3">
          <w:rPr>
            <w:rStyle w:val="Hipervnculo"/>
            <w:rFonts w:ascii="Arial" w:hAnsi="Arial" w:cs="Arial"/>
            <w:sz w:val="12"/>
            <w:szCs w:val="16"/>
          </w:rPr>
          <w:t>https://observatorio.tec.mx/edu-news/lecturas-para-la-educacion-edgar-morin</w:t>
        </w:r>
      </w:hyperlink>
    </w:p>
  </w:footnote>
  <w:footnote w:id="7">
    <w:p w:rsidR="00B50417" w:rsidRDefault="00B50417" w:rsidP="00B50417">
      <w:pPr>
        <w:pStyle w:val="Textonotapie"/>
        <w:jc w:val="both"/>
      </w:pPr>
      <w:r w:rsidRPr="00853AB3">
        <w:rPr>
          <w:rStyle w:val="Refdenotaalpie"/>
          <w:rFonts w:ascii="Arial" w:hAnsi="Arial" w:cs="Arial"/>
          <w:sz w:val="12"/>
          <w:szCs w:val="16"/>
        </w:rPr>
        <w:footnoteRef/>
      </w:r>
      <w:r w:rsidRPr="00853AB3">
        <w:rPr>
          <w:rFonts w:ascii="Arial" w:hAnsi="Arial" w:cs="Arial"/>
          <w:sz w:val="12"/>
          <w:szCs w:val="16"/>
        </w:rPr>
        <w:t xml:space="preserve">   Organización de las Naciones Unidas para la Educación, la Ciencia y la Cultura (2020). La educación en un mundo tras la COVID: Nueve ideas para la acción pública. Comisión internacional sobre Los futuros de la educación. Pág. 16. </w:t>
      </w:r>
      <w:hyperlink r:id="rId6" w:history="1">
        <w:r w:rsidRPr="00853AB3">
          <w:rPr>
            <w:rStyle w:val="Hipervnculo"/>
            <w:rFonts w:ascii="Arial" w:hAnsi="Arial" w:cs="Arial"/>
            <w:sz w:val="12"/>
            <w:szCs w:val="16"/>
          </w:rPr>
          <w:t>https://unesdoc.unesco.org/ark:/48223/pf0000373717_spa/PDF/373717spa.pdf.multi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F1A83" w:rsidP="006057C7">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3E" w:rsidRDefault="00354A6E" w:rsidP="00801EEE">
    <w:pPr>
      <w:pBdr>
        <w:top w:val="nil"/>
        <w:left w:val="nil"/>
        <w:bottom w:val="nil"/>
        <w:right w:val="nil"/>
        <w:between w:val="nil"/>
      </w:pBdr>
      <w:spacing w:line="240" w:lineRule="auto"/>
      <w:ind w:leftChars="0" w:left="0" w:firstLineChars="0" w:firstLine="0"/>
      <w:rPr>
        <w:color w:val="000000"/>
      </w:rPr>
    </w:pPr>
    <w:r w:rsidRPr="00354A6E">
      <w:rPr>
        <w:noProof/>
        <w:color w:val="000000"/>
      </w:rPr>
      <mc:AlternateContent>
        <mc:Choice Requires="wps">
          <w:drawing>
            <wp:anchor distT="45720" distB="45720" distL="114300" distR="114300" simplePos="0" relativeHeight="251661312" behindDoc="0" locked="0" layoutInCell="1" allowOverlap="1" wp14:anchorId="25AEA3DC" wp14:editId="411E1A61">
              <wp:simplePos x="0" y="0"/>
              <wp:positionH relativeFrom="margin">
                <wp:align>right</wp:align>
              </wp:positionH>
              <wp:positionV relativeFrom="paragraph">
                <wp:posOffset>788035</wp:posOffset>
              </wp:positionV>
              <wp:extent cx="2360930" cy="428625"/>
              <wp:effectExtent l="0" t="0" r="508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noFill/>
                        <a:miter lim="800000"/>
                        <a:headEnd/>
                        <a:tailEnd/>
                      </a:ln>
                    </wps:spPr>
                    <wps:txbx>
                      <w:txbxContent>
                        <w:p w:rsidR="00354A6E" w:rsidRPr="00354A6E" w:rsidRDefault="00354A6E" w:rsidP="00354A6E">
                          <w:pPr>
                            <w:pBdr>
                              <w:between w:val="nil"/>
                            </w:pBdr>
                            <w:spacing w:line="240" w:lineRule="auto"/>
                            <w:ind w:left="0" w:hanging="2"/>
                            <w:jc w:val="right"/>
                            <w:rPr>
                              <w:rFonts w:ascii="AvantGarde Bk BT" w:eastAsia="Questrial" w:hAnsi="AvantGarde Bk BT" w:cs="Arial"/>
                              <w:color w:val="000000" w:themeColor="text1"/>
                              <w:sz w:val="22"/>
                              <w:szCs w:val="22"/>
                            </w:rPr>
                          </w:pPr>
                          <w:proofErr w:type="spellStart"/>
                          <w:r w:rsidRPr="00354A6E">
                            <w:rPr>
                              <w:rFonts w:ascii="AvantGarde Bk BT" w:eastAsia="Questrial" w:hAnsi="AvantGarde Bk BT" w:cs="Arial"/>
                              <w:color w:val="000000" w:themeColor="text1"/>
                              <w:sz w:val="22"/>
                              <w:szCs w:val="22"/>
                            </w:rPr>
                            <w:t>Exp</w:t>
                          </w:r>
                          <w:proofErr w:type="spellEnd"/>
                          <w:r w:rsidRPr="00354A6E">
                            <w:rPr>
                              <w:rFonts w:ascii="AvantGarde Bk BT" w:eastAsia="Questrial" w:hAnsi="AvantGarde Bk BT" w:cs="Arial"/>
                              <w:color w:val="000000" w:themeColor="text1"/>
                              <w:sz w:val="22"/>
                              <w:szCs w:val="22"/>
                            </w:rPr>
                            <w:t>. 021</w:t>
                          </w:r>
                        </w:p>
                        <w:p w:rsidR="00354A6E" w:rsidRPr="00354A6E" w:rsidRDefault="00354A6E" w:rsidP="00354A6E">
                          <w:pPr>
                            <w:pBdr>
                              <w:between w:val="nil"/>
                            </w:pBdr>
                            <w:spacing w:line="240" w:lineRule="auto"/>
                            <w:ind w:left="0" w:hanging="2"/>
                            <w:jc w:val="right"/>
                            <w:rPr>
                              <w:rFonts w:ascii="AvantGarde Bk BT" w:eastAsia="Questrial" w:hAnsi="AvantGarde Bk BT" w:cs="Arial"/>
                              <w:bCs/>
                              <w:color w:val="000000" w:themeColor="text1"/>
                              <w:sz w:val="22"/>
                              <w:szCs w:val="22"/>
                            </w:rPr>
                          </w:pPr>
                          <w:r w:rsidRPr="00354A6E">
                            <w:rPr>
                              <w:rFonts w:ascii="AvantGarde Bk BT" w:eastAsia="Questrial" w:hAnsi="AvantGarde Bk BT" w:cs="Arial"/>
                              <w:bCs/>
                              <w:color w:val="000000" w:themeColor="text1"/>
                              <w:sz w:val="22"/>
                              <w:szCs w:val="22"/>
                            </w:rPr>
                            <w:t>Dictamen Núm. IV/2022/022</w:t>
                          </w:r>
                        </w:p>
                        <w:p w:rsidR="00354A6E" w:rsidRDefault="00354A6E">
                          <w:pPr>
                            <w:ind w:left="0" w:hanging="2"/>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AEA3DC" id="_x0000_t202" coordsize="21600,21600" o:spt="202" path="m,l,21600r21600,l21600,xe">
              <v:stroke joinstyle="miter"/>
              <v:path gradientshapeok="t" o:connecttype="rect"/>
            </v:shapetype>
            <v:shape id="Cuadro de texto 2" o:spid="_x0000_s1026" type="#_x0000_t202" style="position:absolute;margin-left:134.7pt;margin-top:62.05pt;width:185.9pt;height:33.7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" stroked="f">
              <v:textbox>
                <w:txbxContent>
                  <w:p w:rsidR="00354A6E" w:rsidRPr="00354A6E" w:rsidRDefault="00354A6E" w:rsidP="00354A6E">
                    <w:pPr>
                      <w:pBdr>
                        <w:between w:val="nil"/>
                      </w:pBdr>
                      <w:spacing w:line="240" w:lineRule="auto"/>
                      <w:ind w:left="0" w:hanging="2"/>
                      <w:jc w:val="right"/>
                      <w:rPr>
                        <w:rFonts w:ascii="AvantGarde Bk BT" w:eastAsia="Questrial" w:hAnsi="AvantGarde Bk BT" w:cs="Arial"/>
                        <w:color w:val="000000" w:themeColor="text1"/>
                        <w:sz w:val="22"/>
                        <w:szCs w:val="22"/>
                      </w:rPr>
                    </w:pPr>
                    <w:proofErr w:type="spellStart"/>
                    <w:r w:rsidRPr="00354A6E">
                      <w:rPr>
                        <w:rFonts w:ascii="AvantGarde Bk BT" w:eastAsia="Questrial" w:hAnsi="AvantGarde Bk BT" w:cs="Arial"/>
                        <w:color w:val="000000" w:themeColor="text1"/>
                        <w:sz w:val="22"/>
                        <w:szCs w:val="22"/>
                      </w:rPr>
                      <w:t>Exp</w:t>
                    </w:r>
                    <w:proofErr w:type="spellEnd"/>
                    <w:r w:rsidRPr="00354A6E">
                      <w:rPr>
                        <w:rFonts w:ascii="AvantGarde Bk BT" w:eastAsia="Questrial" w:hAnsi="AvantGarde Bk BT" w:cs="Arial"/>
                        <w:color w:val="000000" w:themeColor="text1"/>
                        <w:sz w:val="22"/>
                        <w:szCs w:val="22"/>
                      </w:rPr>
                      <w:t>. 021</w:t>
                    </w:r>
                  </w:p>
                  <w:p w:rsidR="00354A6E" w:rsidRPr="00354A6E" w:rsidRDefault="00354A6E" w:rsidP="00354A6E">
                    <w:pPr>
                      <w:pBdr>
                        <w:between w:val="nil"/>
                      </w:pBdr>
                      <w:spacing w:line="240" w:lineRule="auto"/>
                      <w:ind w:left="0" w:hanging="2"/>
                      <w:jc w:val="right"/>
                      <w:rPr>
                        <w:rFonts w:ascii="AvantGarde Bk BT" w:eastAsia="Questrial" w:hAnsi="AvantGarde Bk BT" w:cs="Arial"/>
                        <w:bCs/>
                        <w:color w:val="000000" w:themeColor="text1"/>
                        <w:sz w:val="22"/>
                        <w:szCs w:val="22"/>
                      </w:rPr>
                    </w:pPr>
                    <w:r w:rsidRPr="00354A6E">
                      <w:rPr>
                        <w:rFonts w:ascii="AvantGarde Bk BT" w:eastAsia="Questrial" w:hAnsi="AvantGarde Bk BT" w:cs="Arial"/>
                        <w:bCs/>
                        <w:color w:val="000000" w:themeColor="text1"/>
                        <w:sz w:val="22"/>
                        <w:szCs w:val="22"/>
                      </w:rPr>
                      <w:t>Dictamen Núm. IV/2022/022</w:t>
                    </w:r>
                  </w:p>
                  <w:p w:rsidR="00354A6E" w:rsidRDefault="00354A6E">
                    <w:pPr>
                      <w:ind w:left="0" w:hanging="2"/>
                    </w:pPr>
                  </w:p>
                </w:txbxContent>
              </v:textbox>
              <w10:wrap type="square" anchorx="margin"/>
            </v:shape>
          </w:pict>
        </mc:Fallback>
      </mc:AlternateContent>
    </w:r>
    <w:r w:rsidR="00B3031C">
      <w:rPr>
        <w:noProof/>
        <w:lang w:val="es-MX" w:eastAsia="es-MX"/>
      </w:rPr>
      <w:drawing>
        <wp:anchor distT="0" distB="0" distL="0" distR="0" simplePos="0" relativeHeight="251659264" behindDoc="0" locked="0" layoutInCell="1" allowOverlap="1" wp14:anchorId="44F7C05F" wp14:editId="6F9BE14A">
          <wp:simplePos x="0" y="0"/>
          <wp:positionH relativeFrom="column">
            <wp:posOffset>-1070609</wp:posOffset>
          </wp:positionH>
          <wp:positionV relativeFrom="paragraph">
            <wp:posOffset>-440054</wp:posOffset>
          </wp:positionV>
          <wp:extent cx="7753350" cy="1615440"/>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F1A83" w:rsidP="006057C7">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688"/>
    <w:multiLevelType w:val="hybridMultilevel"/>
    <w:tmpl w:val="47200AB6"/>
    <w:lvl w:ilvl="0" w:tplc="3E9663B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675FDA"/>
    <w:multiLevelType w:val="hybridMultilevel"/>
    <w:tmpl w:val="0AB4122A"/>
    <w:lvl w:ilvl="0" w:tplc="503A45C2">
      <w:start w:val="1"/>
      <w:numFmt w:val="upperRoman"/>
      <w:lvlText w:val="%1."/>
      <w:lvlJc w:val="right"/>
      <w:pPr>
        <w:ind w:left="718" w:hanging="360"/>
      </w:pPr>
      <w:rPr>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 w15:restartNumberingAfterBreak="0">
    <w:nsid w:val="3124746C"/>
    <w:multiLevelType w:val="multilevel"/>
    <w:tmpl w:val="322413E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2"/>
    <w:rsid w:val="00007242"/>
    <w:rsid w:val="000723B0"/>
    <w:rsid w:val="00082F72"/>
    <w:rsid w:val="000846A8"/>
    <w:rsid w:val="001077BC"/>
    <w:rsid w:val="00165E0A"/>
    <w:rsid w:val="002E4534"/>
    <w:rsid w:val="0031206C"/>
    <w:rsid w:val="00354A6E"/>
    <w:rsid w:val="00391CBF"/>
    <w:rsid w:val="004018EC"/>
    <w:rsid w:val="006F1A83"/>
    <w:rsid w:val="00730DCA"/>
    <w:rsid w:val="00777556"/>
    <w:rsid w:val="00815AC8"/>
    <w:rsid w:val="009527E5"/>
    <w:rsid w:val="009A3AC4"/>
    <w:rsid w:val="00A0223C"/>
    <w:rsid w:val="00A273BC"/>
    <w:rsid w:val="00A55397"/>
    <w:rsid w:val="00B3031C"/>
    <w:rsid w:val="00B50417"/>
    <w:rsid w:val="00B55780"/>
    <w:rsid w:val="00B7074A"/>
    <w:rsid w:val="00C03679"/>
    <w:rsid w:val="00C70601"/>
    <w:rsid w:val="00C85FC2"/>
    <w:rsid w:val="00C93E95"/>
    <w:rsid w:val="00CF0DEA"/>
    <w:rsid w:val="00DB3008"/>
    <w:rsid w:val="00E31DB8"/>
    <w:rsid w:val="00E62A04"/>
    <w:rsid w:val="00E75436"/>
    <w:rsid w:val="00F22AD8"/>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00AF"/>
  <w15:chartTrackingRefBased/>
  <w15:docId w15:val="{6D88C8DD-3CEB-CA42-A61A-45F30B80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2F72"/>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082F72"/>
    <w:pPr>
      <w:ind w:left="708"/>
    </w:pPr>
  </w:style>
  <w:style w:type="paragraph" w:styleId="Textonotapie">
    <w:name w:val="footnote text"/>
    <w:basedOn w:val="Normal"/>
    <w:link w:val="TextonotapieCar"/>
    <w:uiPriority w:val="99"/>
    <w:semiHidden/>
    <w:unhideWhenUsed/>
    <w:rsid w:val="00082F72"/>
    <w:pPr>
      <w:spacing w:line="240" w:lineRule="auto"/>
    </w:pPr>
    <w:rPr>
      <w:sz w:val="20"/>
      <w:szCs w:val="20"/>
    </w:rPr>
  </w:style>
  <w:style w:type="character" w:customStyle="1" w:styleId="TextonotapieCar">
    <w:name w:val="Texto nota pie Car"/>
    <w:basedOn w:val="Fuentedeprrafopredeter"/>
    <w:link w:val="Textonotapie"/>
    <w:uiPriority w:val="99"/>
    <w:semiHidden/>
    <w:rsid w:val="00082F72"/>
    <w:rPr>
      <w:rFonts w:ascii="Times New Roman" w:eastAsia="Times New Roman" w:hAnsi="Times New Roman" w:cs="Times New Roman"/>
      <w:position w:val="-1"/>
      <w:sz w:val="20"/>
      <w:szCs w:val="20"/>
      <w:lang w:val="es-ES" w:eastAsia="es-ES"/>
    </w:rPr>
  </w:style>
  <w:style w:type="character" w:styleId="Refdenotaalpie">
    <w:name w:val="footnote reference"/>
    <w:basedOn w:val="Fuentedeprrafopredeter"/>
    <w:uiPriority w:val="99"/>
    <w:semiHidden/>
    <w:unhideWhenUsed/>
    <w:rsid w:val="00082F72"/>
    <w:rPr>
      <w:vertAlign w:val="superscript"/>
    </w:rPr>
  </w:style>
  <w:style w:type="character" w:styleId="Hipervnculo">
    <w:name w:val="Hyperlink"/>
    <w:basedOn w:val="Fuentedeprrafopredeter"/>
    <w:uiPriority w:val="99"/>
    <w:unhideWhenUsed/>
    <w:rsid w:val="00082F72"/>
    <w:rPr>
      <w:color w:val="0563C1" w:themeColor="hyperlink"/>
      <w:u w:val="single"/>
    </w:rPr>
  </w:style>
  <w:style w:type="table" w:styleId="Tablaconcuadrcula">
    <w:name w:val="Table Grid"/>
    <w:basedOn w:val="Tablanormal"/>
    <w:uiPriority w:val="39"/>
    <w:rsid w:val="00082F72"/>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qFormat/>
    <w:rsid w:val="00B50417"/>
  </w:style>
  <w:style w:type="character" w:customStyle="1" w:styleId="EncabezadoCar">
    <w:name w:val="Encabezado Car"/>
    <w:basedOn w:val="Fuentedeprrafopredeter"/>
    <w:link w:val="Encabezado"/>
    <w:rsid w:val="00B50417"/>
    <w:rPr>
      <w:rFonts w:ascii="Times New Roman" w:eastAsia="Times New Roman" w:hAnsi="Times New Roman" w:cs="Times New Roman"/>
      <w:position w:val="-1"/>
      <w:lang w:val="es-ES" w:eastAsia="es-ES"/>
    </w:rPr>
  </w:style>
  <w:style w:type="paragraph" w:styleId="Piedepgina">
    <w:name w:val="footer"/>
    <w:basedOn w:val="Normal"/>
    <w:link w:val="PiedepginaCar"/>
    <w:uiPriority w:val="99"/>
    <w:qFormat/>
    <w:rsid w:val="00B50417"/>
  </w:style>
  <w:style w:type="character" w:customStyle="1" w:styleId="PiedepginaCar">
    <w:name w:val="Pie de página Car"/>
    <w:basedOn w:val="Fuentedeprrafopredeter"/>
    <w:link w:val="Piedepgina"/>
    <w:uiPriority w:val="99"/>
    <w:rsid w:val="00B50417"/>
    <w:rPr>
      <w:rFonts w:ascii="Times New Roman" w:eastAsia="Times New Roman" w:hAnsi="Times New Roman" w:cs="Times New Roman"/>
      <w:position w:val="-1"/>
      <w:lang w:val="es-ES" w:eastAsia="es-ES"/>
    </w:rPr>
  </w:style>
  <w:style w:type="paragraph" w:styleId="Textodeglobo">
    <w:name w:val="Balloon Text"/>
    <w:basedOn w:val="Normal"/>
    <w:link w:val="TextodegloboCar"/>
    <w:uiPriority w:val="99"/>
    <w:semiHidden/>
    <w:unhideWhenUsed/>
    <w:rsid w:val="00354A6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A6E"/>
    <w:rPr>
      <w:rFonts w:ascii="Segoe UI" w:eastAsia="Times New Roman" w:hAnsi="Segoe UI" w:cs="Segoe UI"/>
      <w:position w:val="-1"/>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bros.uchile.cl/files/presses/1/monographs/1098/submission/proof/index.html" TargetMode="External"/><Relationship Id="rId2" Type="http://schemas.openxmlformats.org/officeDocument/2006/relationships/hyperlink" Target="https://observatorio.tec.mx/edu-news/lecturas-para-la-educacion-edgar-morin" TargetMode="External"/><Relationship Id="rId1" Type="http://schemas.openxmlformats.org/officeDocument/2006/relationships/hyperlink" Target="https://unesdoc.unesco.org/ark:/48223/pf0000373717_spa/PDF/373717spa.pdf.multi" TargetMode="External"/><Relationship Id="rId6" Type="http://schemas.openxmlformats.org/officeDocument/2006/relationships/hyperlink" Target="https://unesdoc.unesco.org/ark:/48223/pf0000373717_spa/PDF/373717spa.pdf.multi" TargetMode="External"/><Relationship Id="rId5" Type="http://schemas.openxmlformats.org/officeDocument/2006/relationships/hyperlink" Target="https://observatorio.tec.mx/edu-news/lecturas-para-la-educacion-edgar-morin" TargetMode="External"/><Relationship Id="rId4" Type="http://schemas.openxmlformats.org/officeDocument/2006/relationships/hyperlink" Target="https://doi.org/10.1590/s0102-6992-202035030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2246</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5</cp:revision>
  <cp:lastPrinted>2022-03-08T18:40:00Z</cp:lastPrinted>
  <dcterms:created xsi:type="dcterms:W3CDTF">2022-03-08T17:40:00Z</dcterms:created>
  <dcterms:modified xsi:type="dcterms:W3CDTF">2022-03-08T19:09:00Z</dcterms:modified>
</cp:coreProperties>
</file>