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1C" w:rsidRDefault="009C2A1C" w:rsidP="009C2A1C">
      <w:pPr>
        <w:pStyle w:val="Ttulo1"/>
        <w:jc w:val="both"/>
        <w:rPr>
          <w:rFonts w:ascii="AvantGarde Bk BT" w:hAnsi="AvantGarde Bk BT" w:cs="Arial"/>
          <w:b w:val="0"/>
          <w:szCs w:val="22"/>
          <w:lang w:val="pt-BR"/>
        </w:rPr>
      </w:pPr>
      <w:r>
        <w:rPr>
          <w:rFonts w:ascii="AvantGarde Bk BT" w:hAnsi="AvantGarde Bk BT" w:cs="Arial"/>
          <w:b w:val="0"/>
          <w:szCs w:val="22"/>
          <w:lang w:val="pt-BR"/>
        </w:rPr>
        <w:t>H. CONSEJO GENERAL UNIVERSITARIO</w:t>
      </w:r>
    </w:p>
    <w:p w:rsidR="009C2A1C" w:rsidRDefault="009C2A1C" w:rsidP="00626443">
      <w:pPr>
        <w:spacing w:after="0"/>
        <w:rPr>
          <w:rFonts w:ascii="AvantGarde Bk BT" w:hAnsi="AvantGarde Bk BT" w:cs="Arial"/>
          <w:lang w:val="pt-BR"/>
        </w:rPr>
      </w:pPr>
      <w:r>
        <w:rPr>
          <w:rFonts w:ascii="AvantGarde Bk BT" w:hAnsi="AvantGarde Bk BT" w:cs="Arial"/>
          <w:lang w:val="pt-BR"/>
        </w:rPr>
        <w:t>P R E S E N T E</w:t>
      </w:r>
    </w:p>
    <w:p w:rsidR="00626443" w:rsidRDefault="00626443" w:rsidP="00626443">
      <w:pPr>
        <w:spacing w:after="0"/>
        <w:rPr>
          <w:rFonts w:ascii="AvantGarde Bk BT" w:hAnsi="AvantGarde Bk BT" w:cs="Arial"/>
          <w:lang w:val="pt-BR"/>
        </w:rPr>
      </w:pPr>
    </w:p>
    <w:p w:rsidR="00626443" w:rsidRDefault="00626443" w:rsidP="00626443">
      <w:pPr>
        <w:spacing w:after="0"/>
        <w:rPr>
          <w:rFonts w:ascii="AvantGarde Bk BT" w:hAnsi="AvantGarde Bk BT" w:cs="Arial"/>
          <w:lang w:val="pt-BR"/>
        </w:rPr>
      </w:pPr>
    </w:p>
    <w:p w:rsidR="009C2A1C" w:rsidRDefault="009C2A1C" w:rsidP="004808F2">
      <w:pPr>
        <w:jc w:val="both"/>
        <w:rPr>
          <w:rFonts w:ascii="AvantGarde Bk BT" w:hAnsi="AvantGarde Bk BT"/>
        </w:rPr>
      </w:pPr>
      <w:r w:rsidRPr="002358B0">
        <w:rPr>
          <w:rFonts w:ascii="AvantGarde Bk BT" w:hAnsi="AvantGarde Bk BT"/>
        </w:rPr>
        <w:t>A estas Comisiones Permanentes Conjuntas de Educación y de Hacienda ha sido turnado e</w:t>
      </w:r>
      <w:r w:rsidR="004808F2" w:rsidRPr="002358B0">
        <w:rPr>
          <w:rFonts w:ascii="AvantGarde Bk BT" w:hAnsi="AvantGarde Bk BT"/>
        </w:rPr>
        <w:t xml:space="preserve">l dictamen número CC/434/2014, </w:t>
      </w:r>
      <w:r w:rsidRPr="002358B0">
        <w:rPr>
          <w:rFonts w:ascii="AvantGarde Bk BT" w:hAnsi="AvantGarde Bk BT"/>
        </w:rPr>
        <w:t xml:space="preserve">de fecha 07 de marzo de 2014, en el que el Consejo del Centro Universitario del Sur propone la creación del </w:t>
      </w:r>
      <w:r w:rsidRPr="002358B0">
        <w:rPr>
          <w:rFonts w:ascii="AvantGarde Bk BT" w:hAnsi="AvantGarde Bk BT"/>
          <w:b/>
        </w:rPr>
        <w:t>Centro de Investigación en Biología Molecular de las Enfermedades Crónicas</w:t>
      </w:r>
      <w:r w:rsidRPr="002358B0">
        <w:rPr>
          <w:rFonts w:ascii="AvantGarde Bk BT" w:hAnsi="AvantGarde Bk BT"/>
        </w:rPr>
        <w:t>, y</w:t>
      </w:r>
    </w:p>
    <w:p w:rsidR="009C2A1C" w:rsidRDefault="009C2A1C" w:rsidP="009C2A1C">
      <w:pPr>
        <w:pStyle w:val="Ttulo2"/>
        <w:spacing w:before="0"/>
        <w:jc w:val="center"/>
        <w:rPr>
          <w:rFonts w:ascii="AvantGarde Bk BT" w:hAnsi="AvantGarde Bk BT"/>
          <w:b w:val="0"/>
          <w:i/>
          <w:color w:val="auto"/>
          <w:sz w:val="22"/>
          <w:szCs w:val="22"/>
          <w:lang w:val="pt-BR"/>
        </w:rPr>
      </w:pPr>
      <w:r>
        <w:rPr>
          <w:rFonts w:ascii="AvantGarde Bk BT" w:hAnsi="AvantGarde Bk BT"/>
          <w:b w:val="0"/>
          <w:color w:val="auto"/>
          <w:sz w:val="22"/>
          <w:szCs w:val="22"/>
          <w:lang w:val="pt-BR"/>
        </w:rPr>
        <w:t>R e s u l t a n d o:</w:t>
      </w:r>
    </w:p>
    <w:p w:rsidR="009C2A1C" w:rsidRDefault="009C2A1C" w:rsidP="009C2A1C">
      <w:pPr>
        <w:spacing w:after="0" w:line="240" w:lineRule="auto"/>
        <w:rPr>
          <w:rFonts w:ascii="AvantGarde Bk BT" w:hAnsi="AvantGarde Bk BT"/>
          <w:lang w:val="pt-BR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</w:rPr>
      </w:pPr>
      <w:r>
        <w:rPr>
          <w:rFonts w:ascii="AvantGarde Bk BT" w:hAnsi="AvantGarde Bk BT"/>
          <w:szCs w:val="22"/>
        </w:rPr>
        <w:t>Que uno de los fines de la Universidad de Guadalajara es el de formar y actualizar a los técnicos, bachilleres, técnicos profesionales, profesionistas, graduados y demás recursos humanos que requiera el desarrollo socioeconómico del estado.</w:t>
      </w:r>
    </w:p>
    <w:p w:rsidR="009C2A1C" w:rsidRDefault="009C2A1C" w:rsidP="004808F2">
      <w:pPr>
        <w:pStyle w:val="Textoindependiente"/>
        <w:rPr>
          <w:rFonts w:ascii="AvantGarde Bk BT" w:hAnsi="AvantGarde Bk BT"/>
          <w:szCs w:val="22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Que nuestra Universidad fomenta el desarrollo de sus Centros Universitarios Regionales, en aras de contribuir a la satisfacción de las demandas y necesidades de las regiones.</w:t>
      </w:r>
    </w:p>
    <w:p w:rsidR="009C2A1C" w:rsidRPr="004808F2" w:rsidRDefault="009C2A1C" w:rsidP="004808F2">
      <w:pPr>
        <w:spacing w:after="0" w:line="240" w:lineRule="auto"/>
        <w:rPr>
          <w:rFonts w:ascii="AvantGarde Bk BT" w:hAnsi="AvantGarde Bk BT"/>
          <w:lang w:val="es-ES_tradnl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Que la Universidad de Guadalajara establece como unidades académicas a los Institutos, Centros y Laboratorios</w:t>
      </w:r>
      <w:r w:rsidR="004808F2">
        <w:rPr>
          <w:rFonts w:ascii="AvantGarde Bk BT" w:hAnsi="AvantGarde Bk BT"/>
          <w:szCs w:val="22"/>
          <w:lang w:val="es-ES_tradnl"/>
        </w:rPr>
        <w:t>,</w:t>
      </w:r>
      <w:r>
        <w:rPr>
          <w:rFonts w:ascii="AvantGarde Bk BT" w:hAnsi="AvantGarde Bk BT"/>
          <w:szCs w:val="22"/>
          <w:lang w:val="es-ES_tradnl"/>
        </w:rPr>
        <w:t xml:space="preserve"> dedicados a la investigación, y las Academias</w:t>
      </w:r>
      <w:r w:rsidR="004808F2">
        <w:rPr>
          <w:rFonts w:ascii="AvantGarde Bk BT" w:hAnsi="AvantGarde Bk BT"/>
          <w:szCs w:val="22"/>
          <w:lang w:val="es-ES_tradnl"/>
        </w:rPr>
        <w:t>,</w:t>
      </w:r>
      <w:r>
        <w:rPr>
          <w:rFonts w:ascii="AvantGarde Bk BT" w:hAnsi="AvantGarde Bk BT"/>
          <w:szCs w:val="22"/>
          <w:lang w:val="es-ES_tradnl"/>
        </w:rPr>
        <w:t xml:space="preserve"> dedicadas a la docencia. </w:t>
      </w:r>
    </w:p>
    <w:p w:rsidR="009C2A1C" w:rsidRPr="004808F2" w:rsidRDefault="009C2A1C" w:rsidP="004808F2">
      <w:pPr>
        <w:spacing w:after="0" w:line="240" w:lineRule="auto"/>
        <w:rPr>
          <w:rFonts w:ascii="AvantGarde Bk BT" w:hAnsi="AvantGarde Bk BT"/>
          <w:lang w:val="es-ES_tradnl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 xml:space="preserve">Que se considera necesaria la creación de un Centro de Investigación en Biología Molecular de las Enfermedades Crónicas, en apego al marco normativo que rige a la Universidad. </w:t>
      </w:r>
    </w:p>
    <w:p w:rsidR="009C2A1C" w:rsidRPr="004808F2" w:rsidRDefault="009C2A1C" w:rsidP="004808F2">
      <w:pPr>
        <w:spacing w:after="0" w:line="240" w:lineRule="auto"/>
        <w:rPr>
          <w:rFonts w:ascii="AvantGarde Bk BT" w:hAnsi="AvantGarde Bk BT"/>
          <w:lang w:val="es-ES_tradnl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Que el C</w:t>
      </w:r>
      <w:r w:rsidR="00626443">
        <w:rPr>
          <w:rFonts w:ascii="AvantGarde Bk BT" w:hAnsi="AvantGarde Bk BT"/>
          <w:szCs w:val="22"/>
          <w:lang w:val="es-ES_tradnl"/>
        </w:rPr>
        <w:t xml:space="preserve">entro </w:t>
      </w:r>
      <w:r>
        <w:rPr>
          <w:rFonts w:ascii="AvantGarde Bk BT" w:hAnsi="AvantGarde Bk BT"/>
          <w:szCs w:val="22"/>
          <w:lang w:val="es-ES_tradnl"/>
        </w:rPr>
        <w:t xml:space="preserve">es un espacio académico y de investigación que cuenta con recursos humanos, materiales, equipo y técnicas especializadas para el desarrollo de las funciones sustantivas de la Universidad de Guadalajara. </w:t>
      </w:r>
    </w:p>
    <w:p w:rsidR="009C2A1C" w:rsidRPr="004808F2" w:rsidRDefault="009C2A1C" w:rsidP="004808F2">
      <w:pPr>
        <w:spacing w:after="0" w:line="240" w:lineRule="auto"/>
        <w:rPr>
          <w:rFonts w:ascii="AvantGarde Bk BT" w:hAnsi="AvantGarde Bk BT"/>
          <w:lang w:val="es-ES_tradnl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Que la creación del C</w:t>
      </w:r>
      <w:r w:rsidR="00626443">
        <w:rPr>
          <w:rFonts w:ascii="AvantGarde Bk BT" w:hAnsi="AvantGarde Bk BT"/>
          <w:szCs w:val="22"/>
          <w:lang w:val="es-ES_tradnl"/>
        </w:rPr>
        <w:t xml:space="preserve">entro </w:t>
      </w:r>
      <w:r>
        <w:rPr>
          <w:rFonts w:ascii="AvantGarde Bk BT" w:hAnsi="AvantGarde Bk BT"/>
          <w:szCs w:val="22"/>
          <w:lang w:val="es-ES_tradnl"/>
        </w:rPr>
        <w:t>permitirá implementar técnicas experimentales en Biología Molecular, Inmunología, Genética, Neurobiología y Nutrición, derivadas de sus proyectos de investigación.</w:t>
      </w:r>
    </w:p>
    <w:p w:rsidR="00E75FC6" w:rsidRDefault="00E75FC6">
      <w:pPr>
        <w:rPr>
          <w:rFonts w:ascii="AvantGarde Bk BT" w:eastAsia="Times New Roman" w:hAnsi="AvantGarde Bk BT" w:cs="Times New Roman"/>
          <w:lang w:val="es-ES_tradnl" w:eastAsia="es-ES"/>
        </w:rPr>
      </w:pPr>
      <w:r>
        <w:rPr>
          <w:rFonts w:ascii="AvantGarde Bk BT" w:hAnsi="AvantGarde Bk BT"/>
          <w:lang w:val="es-ES_tradnl"/>
        </w:rPr>
        <w:br w:type="page"/>
      </w:r>
    </w:p>
    <w:p w:rsidR="009C2A1C" w:rsidRDefault="009C2A1C" w:rsidP="004808F2">
      <w:pPr>
        <w:pStyle w:val="Textoindependiente"/>
        <w:rPr>
          <w:rFonts w:ascii="AvantGarde Bk BT" w:hAnsi="AvantGarde Bk BT"/>
          <w:szCs w:val="22"/>
          <w:lang w:val="es-ES_tradnl"/>
        </w:rPr>
      </w:pPr>
    </w:p>
    <w:p w:rsidR="009C2A1C" w:rsidRDefault="009C2A1C" w:rsidP="009C2A1C">
      <w:pPr>
        <w:pStyle w:val="Textoindependiente"/>
        <w:numPr>
          <w:ilvl w:val="0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Que entre los objetivos del C</w:t>
      </w:r>
      <w:r w:rsidR="00626443">
        <w:rPr>
          <w:rFonts w:ascii="AvantGarde Bk BT" w:hAnsi="AvantGarde Bk BT"/>
          <w:szCs w:val="22"/>
          <w:lang w:val="es-ES_tradnl"/>
        </w:rPr>
        <w:t xml:space="preserve">entro </w:t>
      </w:r>
      <w:r>
        <w:rPr>
          <w:rFonts w:ascii="AvantGarde Bk BT" w:hAnsi="AvantGarde Bk BT"/>
          <w:szCs w:val="22"/>
          <w:lang w:val="es-ES_tradnl"/>
        </w:rPr>
        <w:t>se encuentran:</w:t>
      </w:r>
    </w:p>
    <w:p w:rsidR="009C2A1C" w:rsidRPr="004808F2" w:rsidRDefault="009C2A1C" w:rsidP="004808F2">
      <w:pPr>
        <w:spacing w:after="0" w:line="240" w:lineRule="auto"/>
        <w:rPr>
          <w:rFonts w:ascii="AvantGarde Bk BT" w:hAnsi="AvantGarde Bk BT"/>
          <w:lang w:val="es-ES_tradnl"/>
        </w:rPr>
      </w:pPr>
    </w:p>
    <w:p w:rsidR="009C2A1C" w:rsidRDefault="009C2A1C" w:rsidP="004808F2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Incidir sobre la formación académica de los alumnos de pregrado y posgrado del Centro Universitario del Sur, relacionados con Ciencias de la Salud;</w:t>
      </w:r>
    </w:p>
    <w:p w:rsidR="009C2A1C" w:rsidRDefault="009C2A1C" w:rsidP="009C2A1C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Formar profesionales en Ciencias de la Salud con experiencia académica que apliquen los conocimientos, habilidades y actitudes adquiridos en beneficios de la población;</w:t>
      </w:r>
    </w:p>
    <w:p w:rsidR="009C2A1C" w:rsidRDefault="009C2A1C" w:rsidP="009C2A1C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Buscar la integración de nuevos recursos humanos calificados que propicien el desarrollo del C</w:t>
      </w:r>
      <w:r w:rsidR="00626443">
        <w:rPr>
          <w:rFonts w:ascii="AvantGarde Bk BT" w:hAnsi="AvantGarde Bk BT"/>
          <w:szCs w:val="22"/>
          <w:lang w:val="es-ES_tradnl"/>
        </w:rPr>
        <w:t xml:space="preserve">entro </w:t>
      </w:r>
      <w:r>
        <w:rPr>
          <w:rFonts w:ascii="AvantGarde Bk BT" w:hAnsi="AvantGarde Bk BT"/>
          <w:szCs w:val="22"/>
          <w:lang w:val="es-ES_tradnl"/>
        </w:rPr>
        <w:t>y cuyas actividades principales incidan en la obtención de productos de investigación;</w:t>
      </w:r>
    </w:p>
    <w:p w:rsidR="009C2A1C" w:rsidRDefault="009C2A1C" w:rsidP="009C2A1C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Difundir el conocimiento generado por los proyectos de investigación realizados en el C</w:t>
      </w:r>
      <w:r w:rsidR="00626443">
        <w:rPr>
          <w:rFonts w:ascii="AvantGarde Bk BT" w:hAnsi="AvantGarde Bk BT"/>
          <w:szCs w:val="22"/>
          <w:lang w:val="es-ES_tradnl"/>
        </w:rPr>
        <w:t>entro</w:t>
      </w:r>
      <w:r>
        <w:rPr>
          <w:rFonts w:ascii="AvantGarde Bk BT" w:hAnsi="AvantGarde Bk BT"/>
          <w:szCs w:val="22"/>
          <w:lang w:val="es-ES_tradnl"/>
        </w:rPr>
        <w:t>, mediante la publicación de artículos científicos en revistas periódicas, con el arbitraje internacional y con ponencias en foros de investigación, tanto n</w:t>
      </w:r>
      <w:r w:rsidR="004808F2">
        <w:rPr>
          <w:rFonts w:ascii="AvantGarde Bk BT" w:hAnsi="AvantGarde Bk BT"/>
          <w:szCs w:val="22"/>
          <w:lang w:val="es-ES_tradnl"/>
        </w:rPr>
        <w:t>acionales, como internacionales, y</w:t>
      </w:r>
    </w:p>
    <w:p w:rsidR="009C2A1C" w:rsidRDefault="009C2A1C" w:rsidP="009C2A1C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>
        <w:rPr>
          <w:rFonts w:ascii="AvantGarde Bk BT" w:hAnsi="AvantGarde Bk BT"/>
          <w:szCs w:val="22"/>
          <w:lang w:val="es-ES_tradnl"/>
        </w:rPr>
        <w:t>Formalizar el vínculo del C</w:t>
      </w:r>
      <w:r w:rsidR="00626443">
        <w:rPr>
          <w:rFonts w:ascii="AvantGarde Bk BT" w:hAnsi="AvantGarde Bk BT"/>
          <w:szCs w:val="22"/>
          <w:lang w:val="es-ES_tradnl"/>
        </w:rPr>
        <w:t>entro</w:t>
      </w:r>
      <w:r>
        <w:rPr>
          <w:rFonts w:ascii="AvantGarde Bk BT" w:hAnsi="AvantGarde Bk BT"/>
          <w:szCs w:val="22"/>
          <w:lang w:val="es-ES_tradnl"/>
        </w:rPr>
        <w:t xml:space="preserve"> con instituciones académicas con las que los investigadores mantengan una relación académica.</w:t>
      </w:r>
    </w:p>
    <w:p w:rsidR="009C2A1C" w:rsidRDefault="009C2A1C" w:rsidP="004808F2">
      <w:pPr>
        <w:pStyle w:val="Textoindependiente"/>
        <w:rPr>
          <w:rFonts w:ascii="AvantGarde Bk BT" w:hAnsi="AvantGarde Bk BT"/>
          <w:szCs w:val="22"/>
          <w:lang w:val="es-ES_tradnl"/>
        </w:rPr>
      </w:pPr>
    </w:p>
    <w:p w:rsidR="009C2A1C" w:rsidRDefault="009C2A1C" w:rsidP="009C2A1C">
      <w:pPr>
        <w:numPr>
          <w:ilvl w:val="0"/>
          <w:numId w:val="5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  <w:lang w:val="es-ES_tradnl"/>
        </w:rPr>
        <w:t>Que l</w:t>
      </w:r>
      <w:r>
        <w:rPr>
          <w:rFonts w:ascii="AvantGarde Bk BT" w:hAnsi="AvantGarde Bk BT"/>
        </w:rPr>
        <w:t xml:space="preserve">a planta académica del </w:t>
      </w:r>
      <w:r>
        <w:rPr>
          <w:rFonts w:ascii="AvantGarde Bk BT" w:hAnsi="AvantGarde Bk BT"/>
          <w:lang w:val="es-ES_tradnl"/>
        </w:rPr>
        <w:t>C</w:t>
      </w:r>
      <w:r w:rsidR="00626443">
        <w:rPr>
          <w:rFonts w:ascii="AvantGarde Bk BT" w:hAnsi="AvantGarde Bk BT"/>
          <w:lang w:val="es-ES_tradnl"/>
        </w:rPr>
        <w:t>entro</w:t>
      </w:r>
      <w:r>
        <w:rPr>
          <w:rFonts w:ascii="AvantGarde Bk BT" w:hAnsi="AvantGarde Bk BT"/>
        </w:rPr>
        <w:t xml:space="preserve"> estará conformada por los siguientes investigadores: </w:t>
      </w:r>
    </w:p>
    <w:p w:rsidR="009C2A1C" w:rsidRDefault="009C2A1C" w:rsidP="004808F2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Pr="004808F2" w:rsidRDefault="009C2A1C" w:rsidP="004808F2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 w:rsidRPr="004808F2">
        <w:rPr>
          <w:rFonts w:ascii="AvantGarde Bk BT" w:hAnsi="AvantGarde Bk BT"/>
          <w:szCs w:val="22"/>
          <w:lang w:val="es-ES_tradnl"/>
        </w:rPr>
        <w:t xml:space="preserve">Dra. María Luisa Pita López. </w:t>
      </w:r>
      <w:r w:rsidR="004808F2">
        <w:rPr>
          <w:rFonts w:ascii="AvantGarde Bk BT" w:hAnsi="AvantGarde Bk BT"/>
          <w:szCs w:val="22"/>
          <w:lang w:val="es-ES_tradnl"/>
        </w:rPr>
        <w:t>Profesor Investigador Titular B;</w:t>
      </w:r>
    </w:p>
    <w:p w:rsidR="009C2A1C" w:rsidRPr="004808F2" w:rsidRDefault="009C2A1C" w:rsidP="004808F2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 w:rsidRPr="004808F2">
        <w:rPr>
          <w:rFonts w:ascii="AvantGarde Bk BT" w:hAnsi="AvantGarde Bk BT"/>
          <w:szCs w:val="22"/>
          <w:lang w:val="es-ES_tradnl"/>
        </w:rPr>
        <w:t xml:space="preserve">Dra. Claudia Patricia Beltrán Miranda. </w:t>
      </w:r>
      <w:r w:rsidR="004808F2">
        <w:rPr>
          <w:rFonts w:ascii="AvantGarde Bk BT" w:hAnsi="AvantGarde Bk BT"/>
          <w:szCs w:val="22"/>
          <w:lang w:val="es-ES_tradnl"/>
        </w:rPr>
        <w:t>Profesor Investigador Titular A, y</w:t>
      </w:r>
    </w:p>
    <w:p w:rsidR="009C2A1C" w:rsidRPr="004808F2" w:rsidRDefault="009C2A1C" w:rsidP="004808F2">
      <w:pPr>
        <w:pStyle w:val="Textoindependiente"/>
        <w:numPr>
          <w:ilvl w:val="1"/>
          <w:numId w:val="5"/>
        </w:numPr>
        <w:rPr>
          <w:rFonts w:ascii="AvantGarde Bk BT" w:hAnsi="AvantGarde Bk BT"/>
          <w:szCs w:val="22"/>
          <w:lang w:val="es-ES_tradnl"/>
        </w:rPr>
      </w:pPr>
      <w:r w:rsidRPr="004808F2">
        <w:rPr>
          <w:rFonts w:ascii="AvantGarde Bk BT" w:hAnsi="AvantGarde Bk BT"/>
          <w:szCs w:val="22"/>
          <w:lang w:val="es-ES_tradnl"/>
        </w:rPr>
        <w:t>Dra. Mónica Navarro Meza. Profesor Docente Asociado C.</w:t>
      </w:r>
    </w:p>
    <w:p w:rsidR="009C2A1C" w:rsidRPr="004808F2" w:rsidRDefault="009C2A1C" w:rsidP="004808F2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9C2A1C">
      <w:pPr>
        <w:numPr>
          <w:ilvl w:val="0"/>
          <w:numId w:val="5"/>
        </w:numPr>
        <w:spacing w:after="0" w:line="240" w:lineRule="auto"/>
        <w:jc w:val="both"/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t>Que en el</w:t>
      </w:r>
      <w:r>
        <w:rPr>
          <w:rFonts w:ascii="AvantGarde Bk BT" w:hAnsi="AvantGarde Bk BT"/>
        </w:rPr>
        <w:t xml:space="preserve"> Centro </w:t>
      </w:r>
      <w:r>
        <w:rPr>
          <w:rFonts w:ascii="AvantGarde Bk BT" w:hAnsi="AvantGarde Bk BT"/>
          <w:lang w:val="es-ES_tradnl"/>
        </w:rPr>
        <w:t>se desarrollarán las siguientes líneas de investigación:</w:t>
      </w:r>
    </w:p>
    <w:p w:rsidR="009C2A1C" w:rsidRDefault="009C2A1C" w:rsidP="004808F2">
      <w:pPr>
        <w:spacing w:after="0" w:line="240" w:lineRule="auto"/>
        <w:jc w:val="both"/>
        <w:rPr>
          <w:rFonts w:ascii="AvantGarde Bk BT" w:hAnsi="AvantGarde Bk BT"/>
          <w:lang w:val="es-ES_tradnl"/>
        </w:rPr>
      </w:pPr>
    </w:p>
    <w:p w:rsidR="009C2A1C" w:rsidRDefault="009C2A1C" w:rsidP="009C2A1C">
      <w:pPr>
        <w:numPr>
          <w:ilvl w:val="1"/>
          <w:numId w:val="5"/>
        </w:numPr>
        <w:spacing w:after="0" w:line="240" w:lineRule="auto"/>
        <w:jc w:val="both"/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t>Inmunología y Genética de las Enfermedades Crónico Degenerativas;</w:t>
      </w:r>
    </w:p>
    <w:p w:rsidR="009C2A1C" w:rsidRDefault="009C2A1C" w:rsidP="009C2A1C">
      <w:pPr>
        <w:numPr>
          <w:ilvl w:val="1"/>
          <w:numId w:val="5"/>
        </w:numPr>
        <w:spacing w:after="0" w:line="240" w:lineRule="auto"/>
        <w:jc w:val="both"/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t>Genotoxicidad en las Enfermedades Crónicas Degenerativas y Efectos de la Alimentación</w:t>
      </w:r>
      <w:r w:rsidR="004808F2">
        <w:rPr>
          <w:rFonts w:ascii="AvantGarde Bk BT" w:hAnsi="AvantGarde Bk BT"/>
          <w:lang w:val="es-ES_tradnl"/>
        </w:rPr>
        <w:t>, y</w:t>
      </w:r>
    </w:p>
    <w:p w:rsidR="009C2A1C" w:rsidRDefault="009C2A1C" w:rsidP="009C2A1C">
      <w:pPr>
        <w:numPr>
          <w:ilvl w:val="1"/>
          <w:numId w:val="5"/>
        </w:numPr>
        <w:spacing w:after="0" w:line="240" w:lineRule="auto"/>
        <w:jc w:val="both"/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t>Alimentos Funcionales y Biotecnológicos en Enfermedades Crónico Degenerativas.</w:t>
      </w:r>
    </w:p>
    <w:p w:rsidR="00E75FC6" w:rsidRDefault="00E75FC6">
      <w:pPr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br w:type="page"/>
      </w:r>
    </w:p>
    <w:p w:rsidR="009C2A1C" w:rsidRDefault="009C2A1C" w:rsidP="004808F2">
      <w:pPr>
        <w:spacing w:after="0" w:line="240" w:lineRule="auto"/>
        <w:jc w:val="both"/>
        <w:rPr>
          <w:rFonts w:ascii="AvantGarde Bk BT" w:hAnsi="AvantGarde Bk BT"/>
          <w:lang w:val="es-ES_tradnl"/>
        </w:rPr>
      </w:pPr>
    </w:p>
    <w:p w:rsidR="009C2A1C" w:rsidRDefault="009C2A1C" w:rsidP="009C2A1C">
      <w:pPr>
        <w:pStyle w:val="Textoindependiente"/>
        <w:rPr>
          <w:rFonts w:ascii="AvantGarde Bk BT" w:hAnsi="AvantGarde Bk BT"/>
          <w:szCs w:val="22"/>
        </w:rPr>
      </w:pPr>
      <w:r>
        <w:rPr>
          <w:rFonts w:ascii="AvantGarde Bk BT" w:hAnsi="AvantGarde Bk BT"/>
          <w:szCs w:val="22"/>
        </w:rPr>
        <w:t>En virtud de los resultandos antes expuestos, estas Comisiones Conjuntas de Educación y Hacienda encuentran los elementos justificativos suficientes que acreditan la existencia de las necesidades referidas, y</w:t>
      </w:r>
    </w:p>
    <w:p w:rsidR="009C2A1C" w:rsidRDefault="009C2A1C" w:rsidP="009C2A1C">
      <w:pPr>
        <w:pStyle w:val="Textoindependiente"/>
        <w:rPr>
          <w:rFonts w:ascii="AvantGarde Bk BT" w:hAnsi="AvantGarde Bk BT"/>
          <w:szCs w:val="22"/>
        </w:rPr>
      </w:pPr>
    </w:p>
    <w:p w:rsidR="009C2A1C" w:rsidRDefault="009C2A1C" w:rsidP="009C2A1C">
      <w:pPr>
        <w:jc w:val="center"/>
        <w:rPr>
          <w:rFonts w:ascii="AvantGarde Bk BT" w:hAnsi="AvantGarde Bk BT"/>
          <w:lang w:val="pt-BR"/>
        </w:rPr>
      </w:pPr>
      <w:r>
        <w:rPr>
          <w:rFonts w:ascii="AvantGarde Bk BT" w:hAnsi="AvantGarde Bk BT"/>
          <w:lang w:val="pt-BR"/>
        </w:rPr>
        <w:t>C o n s i d e r a n d o:</w:t>
      </w:r>
    </w:p>
    <w:p w:rsidR="009C2A1C" w:rsidRDefault="009C2A1C" w:rsidP="009C2A1C">
      <w:pPr>
        <w:pStyle w:val="Textoindependiente"/>
        <w:rPr>
          <w:rFonts w:ascii="AvantGarde Bk BT" w:hAnsi="AvantGarde Bk BT"/>
          <w:szCs w:val="22"/>
          <w:lang w:val="pt-BR"/>
        </w:rPr>
      </w:pPr>
    </w:p>
    <w:p w:rsidR="009C2A1C" w:rsidRPr="004808F2" w:rsidRDefault="009C2A1C" w:rsidP="00E75FC6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la Universidad de Guadalajara es un organismo público descentralizado del Gobierno del Estado con autonomía, personalidad jurídica y patrimonio propios, de conformidad con lo dispuesto en el artículo 1 de su Ley Orgánica, promulgada por el Ejecutivo local el día 15 de enero de 1994, en ejecución del decreto número 15319 del H. Congreso del Estado de Jalisco.</w:t>
      </w:r>
    </w:p>
    <w:p w:rsidR="004808F2" w:rsidRDefault="004808F2" w:rsidP="00E75FC6">
      <w:pPr>
        <w:spacing w:after="0" w:line="240" w:lineRule="auto"/>
        <w:rPr>
          <w:rFonts w:ascii="AvantGarde Bk BT" w:hAnsi="AvantGarde Bk BT"/>
        </w:rPr>
      </w:pPr>
    </w:p>
    <w:p w:rsidR="009C2A1C" w:rsidRDefault="009C2A1C" w:rsidP="00E75FC6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socio-económico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9C2A1C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 w:cs="Arial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artículo 28 y la fracción V del artículo 31 de la Ley Orgánica.</w:t>
      </w: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9C2A1C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de acuerdo con el artículo 22 de la Ley Orgánica, la Universidad de Guadalajara adoptará el modelo de Red para organizar sus actividades académicas y administrativas.</w:t>
      </w: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9C2A1C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corresponde a la Universidad organizarse para el cumplimiento de sus fines, de acuerdo con las atribuciones que le otorga el artículo 6, fracción II de la Ley Orgánica.</w:t>
      </w:r>
    </w:p>
    <w:p w:rsidR="00E75FC6" w:rsidRDefault="00E75FC6">
      <w:pPr>
        <w:rPr>
          <w:rFonts w:ascii="AvantGarde Bk BT" w:hAnsi="AvantGarde Bk BT"/>
        </w:rPr>
      </w:pPr>
      <w:r>
        <w:rPr>
          <w:rFonts w:ascii="AvantGarde Bk BT" w:hAnsi="AvantGarde Bk BT"/>
        </w:rPr>
        <w:br w:type="page"/>
      </w:r>
    </w:p>
    <w:p w:rsidR="009C2A1C" w:rsidRDefault="009C2A1C" w:rsidP="009C2A1C">
      <w:pPr>
        <w:spacing w:after="0" w:line="240" w:lineRule="auto"/>
        <w:rPr>
          <w:rFonts w:ascii="AvantGarde Bk BT" w:hAnsi="AvantGarde Bk BT"/>
        </w:rPr>
      </w:pPr>
    </w:p>
    <w:p w:rsidR="009C2A1C" w:rsidRDefault="009C2A1C" w:rsidP="009C2A1C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el Estatuto General de la Universidad, en su artículo 15, define al Centro como la Unidad Departamental que realiza investigación y cuenta con, al menos, dos académicos de carrera con la categoría de titular o el grado de doctor y desarrolla dos líneas fundamentales de investigación.</w:t>
      </w: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9C2A1C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es atribución de la Comisión de Educación conocer y dictaminar acerca de las propuestas de los Consejeros, el Rector General o de los titulares de los Centros, Divisiones y Escuelas, de conformidad con lo establecido en el artículo 85, fracción IV del Estatuto General de la Universidad de Guadalajara.</w:t>
      </w:r>
    </w:p>
    <w:p w:rsidR="009C2A1C" w:rsidRDefault="009C2A1C" w:rsidP="009C2A1C">
      <w:pPr>
        <w:spacing w:after="0" w:line="240" w:lineRule="auto"/>
        <w:rPr>
          <w:rFonts w:ascii="AvantGarde Bk BT" w:hAnsi="AvantGarde Bk BT"/>
        </w:rPr>
      </w:pPr>
    </w:p>
    <w:p w:rsidR="009C2A1C" w:rsidRPr="00DB558C" w:rsidRDefault="009C2A1C" w:rsidP="00DB558C">
      <w:pPr>
        <w:numPr>
          <w:ilvl w:val="0"/>
          <w:numId w:val="8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DB558C">
        <w:rPr>
          <w:rFonts w:ascii="AvantGarde Bk BT" w:hAnsi="AvantGarde Bk BT" w:cs="Arial"/>
          <w:spacing w:val="-2"/>
        </w:rPr>
        <w:t xml:space="preserve">Que de acuerdo con el artículo 86, en sus fracciones III y IV del Estatuto General, es atribución de la Comisión de Hacienda fiscalizar el manejo, la contabilidad y el movimiento de recursos de todas las dependencias de la Universidad. </w:t>
      </w:r>
    </w:p>
    <w:p w:rsidR="00DB558C" w:rsidRPr="00DB558C" w:rsidRDefault="00DB558C" w:rsidP="00DB558C">
      <w:pPr>
        <w:pStyle w:val="Prrafodelista"/>
        <w:spacing w:after="0" w:line="240" w:lineRule="auto"/>
        <w:rPr>
          <w:rFonts w:ascii="AvantGarde Bk BT" w:hAnsi="AvantGarde Bk BT" w:cs="Arial"/>
          <w:spacing w:val="-2"/>
        </w:rPr>
      </w:pPr>
    </w:p>
    <w:p w:rsidR="00DB558C" w:rsidRPr="00BC2D02" w:rsidRDefault="00DB558C" w:rsidP="00DB558C">
      <w:pPr>
        <w:numPr>
          <w:ilvl w:val="0"/>
          <w:numId w:val="8"/>
        </w:numPr>
        <w:spacing w:after="0" w:line="240" w:lineRule="auto"/>
        <w:jc w:val="both"/>
        <w:rPr>
          <w:rFonts w:ascii="AvantGarde Bk BT" w:eastAsia="Times New Roman" w:hAnsi="AvantGarde Bk BT" w:cs="Times New Roman"/>
          <w:color w:val="000000"/>
          <w:lang w:eastAsia="es-ES"/>
        </w:rPr>
      </w:pPr>
      <w:r w:rsidRPr="00BC2D02">
        <w:rPr>
          <w:rFonts w:ascii="AvantGarde Bk BT" w:eastAsia="Times New Roman" w:hAnsi="AvantGarde Bk BT" w:cs="Times New Roman"/>
          <w:color w:val="000000"/>
          <w:lang w:eastAsia="es-ES"/>
        </w:rPr>
        <w:t>Que de conformidad con el artículo 116, en su fracción VI del Estatuto General,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autorizados.</w:t>
      </w:r>
    </w:p>
    <w:p w:rsidR="009C2A1C" w:rsidRDefault="009C2A1C" w:rsidP="009C2A1C">
      <w:pPr>
        <w:spacing w:after="0" w:line="240" w:lineRule="auto"/>
        <w:rPr>
          <w:rFonts w:ascii="AvantGarde Bk BT" w:hAnsi="AvantGarde Bk BT" w:cs="Arial"/>
          <w:spacing w:val="-2"/>
        </w:rPr>
      </w:pPr>
    </w:p>
    <w:p w:rsidR="009C2A1C" w:rsidRDefault="009C2A1C" w:rsidP="0055121D">
      <w:pPr>
        <w:spacing w:after="0" w:line="240" w:lineRule="auto"/>
        <w:jc w:val="both"/>
        <w:rPr>
          <w:rFonts w:ascii="AvantGarde Bk BT" w:hAnsi="AvantGarde Bk BT" w:cs="Times New Roman"/>
        </w:rPr>
      </w:pPr>
      <w:r>
        <w:rPr>
          <w:rFonts w:ascii="AvantGarde Bk BT" w:hAnsi="AvantGarde Bk BT"/>
        </w:rPr>
        <w:t>Por lo anteriormente expuesto, estas Comisiones Permanentes Conjuntas de Educación y de Hacienda tienen a bien proponer al pleno del H. Consejo General Universitario los siguientes</w:t>
      </w:r>
    </w:p>
    <w:p w:rsidR="0055121D" w:rsidRPr="004808F2" w:rsidRDefault="0055121D" w:rsidP="004808F2">
      <w:pPr>
        <w:spacing w:after="0" w:line="240" w:lineRule="auto"/>
        <w:jc w:val="both"/>
        <w:rPr>
          <w:rFonts w:ascii="AvantGarde Bk BT" w:hAnsi="AvantGarde Bk BT"/>
          <w:lang w:val="pt-BR"/>
        </w:rPr>
      </w:pPr>
    </w:p>
    <w:p w:rsidR="009C2A1C" w:rsidRDefault="009C2A1C" w:rsidP="0055121D">
      <w:pPr>
        <w:pStyle w:val="Ttulo2"/>
        <w:spacing w:before="0"/>
        <w:jc w:val="center"/>
        <w:rPr>
          <w:rFonts w:ascii="AvantGarde Bk BT" w:hAnsi="AvantGarde Bk BT"/>
          <w:b w:val="0"/>
          <w:i/>
          <w:color w:val="auto"/>
          <w:sz w:val="22"/>
          <w:szCs w:val="22"/>
          <w:lang w:val="pt-BR"/>
        </w:rPr>
      </w:pPr>
      <w:r>
        <w:rPr>
          <w:rFonts w:ascii="AvantGarde Bk BT" w:hAnsi="AvantGarde Bk BT"/>
          <w:b w:val="0"/>
          <w:color w:val="auto"/>
          <w:sz w:val="22"/>
          <w:szCs w:val="22"/>
          <w:lang w:val="pt-BR"/>
        </w:rPr>
        <w:t>R e s o l u t i v o s:</w:t>
      </w:r>
    </w:p>
    <w:p w:rsidR="009C2A1C" w:rsidRDefault="009C2A1C" w:rsidP="0055121D">
      <w:pPr>
        <w:spacing w:after="0" w:line="240" w:lineRule="auto"/>
        <w:jc w:val="both"/>
        <w:rPr>
          <w:rFonts w:ascii="AvantGarde Bk BT" w:hAnsi="AvantGarde Bk BT"/>
          <w:lang w:val="pt-BR"/>
        </w:rPr>
      </w:pPr>
    </w:p>
    <w:p w:rsidR="009C2A1C" w:rsidRPr="002358B0" w:rsidRDefault="009C2A1C" w:rsidP="0055121D">
      <w:pPr>
        <w:spacing w:after="0" w:line="240" w:lineRule="auto"/>
        <w:jc w:val="both"/>
        <w:rPr>
          <w:rFonts w:ascii="AvantGarde Bk BT" w:hAnsi="AvantGarde Bk BT"/>
          <w:lang w:val="es-ES_tradnl"/>
        </w:rPr>
      </w:pPr>
      <w:r w:rsidRPr="002358B0">
        <w:rPr>
          <w:rFonts w:ascii="AvantGarde Bk BT" w:hAnsi="AvantGarde Bk BT"/>
          <w:b/>
        </w:rPr>
        <w:t xml:space="preserve">PRIMERO. </w:t>
      </w:r>
      <w:r w:rsidRPr="002358B0">
        <w:rPr>
          <w:rFonts w:ascii="AvantGarde Bk BT" w:hAnsi="AvantGarde Bk BT" w:cs="Arial"/>
        </w:rPr>
        <w:t xml:space="preserve">Se crea </w:t>
      </w:r>
      <w:r w:rsidRPr="002358B0">
        <w:rPr>
          <w:rFonts w:ascii="AvantGarde Bk BT" w:hAnsi="AvantGarde Bk BT"/>
        </w:rPr>
        <w:t xml:space="preserve">el </w:t>
      </w:r>
      <w:r w:rsidRPr="002358B0">
        <w:rPr>
          <w:rFonts w:ascii="AvantGarde Bk BT" w:hAnsi="AvantGarde Bk BT"/>
          <w:b/>
        </w:rPr>
        <w:t xml:space="preserve">Centro de Investigación en Biología Molecular de las Enfermedades Crónicas, </w:t>
      </w:r>
      <w:r w:rsidRPr="002358B0">
        <w:rPr>
          <w:rFonts w:ascii="AvantGarde Bk BT" w:hAnsi="AvantGarde Bk BT"/>
        </w:rPr>
        <w:t xml:space="preserve">adscrito al Departamento de Salud y Bienestar </w:t>
      </w:r>
      <w:r w:rsidR="00626443" w:rsidRPr="002358B0">
        <w:rPr>
          <w:rFonts w:ascii="AvantGarde Bk BT" w:hAnsi="AvantGarde Bk BT"/>
        </w:rPr>
        <w:t xml:space="preserve">de la División de Bienestar y Desarrollo Regional </w:t>
      </w:r>
      <w:r w:rsidRPr="002358B0">
        <w:rPr>
          <w:rFonts w:ascii="AvantGarde Bk BT" w:hAnsi="AvantGarde Bk BT"/>
        </w:rPr>
        <w:t>del Centro Universitario del Sur,</w:t>
      </w:r>
      <w:r w:rsidRPr="002358B0">
        <w:rPr>
          <w:rFonts w:ascii="AvantGarde Bk BT" w:hAnsi="AvantGarde Bk BT"/>
          <w:lang w:val="es-ES_tradnl"/>
        </w:rPr>
        <w:t xml:space="preserve"> a partir de la aprobación del presente dictamen.  </w:t>
      </w:r>
    </w:p>
    <w:p w:rsidR="009C2A1C" w:rsidRPr="002358B0" w:rsidRDefault="009C2A1C" w:rsidP="0055121D">
      <w:pPr>
        <w:spacing w:after="0" w:line="240" w:lineRule="auto"/>
        <w:jc w:val="both"/>
        <w:rPr>
          <w:rFonts w:ascii="AvantGarde Bk BT" w:hAnsi="AvantGarde Bk BT"/>
          <w:lang w:val="es-ES_tradnl"/>
        </w:rPr>
      </w:pPr>
    </w:p>
    <w:p w:rsidR="00FD3C68" w:rsidRPr="00464DAB" w:rsidRDefault="00FD3C68" w:rsidP="00464DAB">
      <w:pPr>
        <w:spacing w:after="0" w:line="240" w:lineRule="auto"/>
        <w:jc w:val="both"/>
        <w:rPr>
          <w:rFonts w:ascii="AvantGarde Bk BT" w:hAnsi="AvantGarde Bk BT"/>
          <w:lang w:val="es-ES_tradnl"/>
        </w:rPr>
      </w:pPr>
      <w:r w:rsidRPr="002358B0">
        <w:rPr>
          <w:rFonts w:ascii="AvantGarde Bk BT" w:eastAsia="Times New Roman" w:hAnsi="AvantGarde Bk BT" w:cs="Arial"/>
          <w:b/>
          <w:lang w:val="es-ES" w:eastAsia="es-ES"/>
        </w:rPr>
        <w:t>SEGUNDO</w:t>
      </w:r>
      <w:r w:rsidRPr="002358B0">
        <w:rPr>
          <w:rFonts w:ascii="AvantGarde Bk BT" w:eastAsia="Times New Roman" w:hAnsi="AvantGarde Bk BT" w:cs="Arial"/>
          <w:lang w:val="es-ES" w:eastAsia="es-ES"/>
        </w:rPr>
        <w:t xml:space="preserve">. El Centro de Investigación es una unidad departamental cuyo objetivo principal es </w:t>
      </w:r>
      <w:r w:rsidR="00464DAB" w:rsidRPr="002358B0">
        <w:rPr>
          <w:rFonts w:ascii="AvantGarde Bk BT" w:hAnsi="AvantGarde Bk BT"/>
          <w:lang w:val="es-ES_tradnl"/>
        </w:rPr>
        <w:t>buscar</w:t>
      </w:r>
      <w:r w:rsidRPr="002358B0">
        <w:rPr>
          <w:rFonts w:ascii="AvantGarde Bk BT" w:hAnsi="AvantGarde Bk BT"/>
          <w:lang w:val="es-ES_tradnl"/>
        </w:rPr>
        <w:t xml:space="preserve"> la integración de nuevos recursos humanos calificados que propicien el desarrollo del Centro y cuyas actividades principales incidan en la obtenció</w:t>
      </w:r>
      <w:r w:rsidR="00464DAB" w:rsidRPr="002358B0">
        <w:rPr>
          <w:rFonts w:ascii="AvantGarde Bk BT" w:hAnsi="AvantGarde Bk BT"/>
          <w:lang w:val="es-ES_tradnl"/>
        </w:rPr>
        <w:t>n de productos de investigación.</w:t>
      </w:r>
    </w:p>
    <w:p w:rsidR="00464DAB" w:rsidRDefault="00464DAB">
      <w:pPr>
        <w:rPr>
          <w:rFonts w:ascii="AvantGarde Bk BT" w:eastAsia="Times New Roman" w:hAnsi="AvantGarde Bk BT" w:cs="Times New Roman"/>
          <w:b/>
          <w:lang w:val="es-ES" w:eastAsia="es-ES"/>
        </w:rPr>
      </w:pPr>
      <w:r>
        <w:rPr>
          <w:rFonts w:ascii="AvantGarde Bk BT" w:hAnsi="AvantGarde Bk BT"/>
          <w:b/>
        </w:rPr>
        <w:br w:type="page"/>
      </w:r>
    </w:p>
    <w:p w:rsidR="009C2A1C" w:rsidRDefault="00FD3C68" w:rsidP="00626443">
      <w:pPr>
        <w:pStyle w:val="Textoindependiente"/>
        <w:rPr>
          <w:rFonts w:ascii="AvantGarde Bk BT" w:hAnsi="AvantGarde Bk BT"/>
        </w:rPr>
      </w:pPr>
      <w:r w:rsidRPr="00FD3C68">
        <w:rPr>
          <w:rFonts w:ascii="AvantGarde Bk BT" w:hAnsi="AvantGarde Bk BT"/>
          <w:b/>
          <w:szCs w:val="22"/>
        </w:rPr>
        <w:lastRenderedPageBreak/>
        <w:t>TERCERO</w:t>
      </w:r>
      <w:r>
        <w:rPr>
          <w:rFonts w:ascii="AvantGarde Bk BT" w:hAnsi="AvantGarde Bk BT"/>
          <w:szCs w:val="22"/>
        </w:rPr>
        <w:t xml:space="preserve">. </w:t>
      </w:r>
      <w:r w:rsidR="009C2A1C">
        <w:rPr>
          <w:rFonts w:ascii="AvantGarde Bk BT" w:hAnsi="AvantGarde Bk BT"/>
        </w:rPr>
        <w:t>El Centro contará con un Director, cuyo cargo será honorífico. El Director durará en su cargo tres años, contados a partir de los treinta días siguientes en que haya sido designado el Rector del Centro.</w:t>
      </w:r>
    </w:p>
    <w:p w:rsidR="00626443" w:rsidRDefault="00626443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Son requisitos para ser designado Director del C</w:t>
      </w:r>
      <w:r w:rsidR="00626443">
        <w:rPr>
          <w:rFonts w:ascii="AvantGarde Bk BT" w:hAnsi="AvantGarde Bk BT"/>
        </w:rPr>
        <w:t>entro</w:t>
      </w:r>
      <w:r>
        <w:rPr>
          <w:rFonts w:ascii="AvantGarde Bk BT" w:hAnsi="AvantGarde Bk BT"/>
        </w:rPr>
        <w:t xml:space="preserve">: </w:t>
      </w: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Pr="009C2A1C" w:rsidRDefault="009C2A1C" w:rsidP="009C2A1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vantGarde Bk BT" w:hAnsi="AvantGarde Bk BT"/>
        </w:rPr>
      </w:pPr>
      <w:r w:rsidRPr="009C2A1C">
        <w:rPr>
          <w:rFonts w:ascii="AvantGarde Bk BT" w:hAnsi="AvantGarde Bk BT"/>
        </w:rPr>
        <w:t xml:space="preserve">Ser profesor de tiempo completo, con la categoría académica de Titular; y </w:t>
      </w:r>
    </w:p>
    <w:p w:rsidR="009C2A1C" w:rsidRPr="009C2A1C" w:rsidRDefault="009C2A1C" w:rsidP="009C2A1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Ser de reconocida capacidad académica en el objeto de estudio del Centro de Investigación.</w:t>
      </w:r>
    </w:p>
    <w:p w:rsidR="009C2A1C" w:rsidRDefault="009C2A1C" w:rsidP="009C2A1C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9C2A1C" w:rsidP="0055121D">
      <w:p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Considerando que el C</w:t>
      </w:r>
      <w:r w:rsidR="00626443">
        <w:rPr>
          <w:rFonts w:ascii="AvantGarde Bk BT" w:hAnsi="AvantGarde Bk BT"/>
        </w:rPr>
        <w:t>entro</w:t>
      </w:r>
      <w:r>
        <w:rPr>
          <w:rFonts w:ascii="AvantGarde Bk BT" w:hAnsi="AvantGarde Bk BT"/>
        </w:rPr>
        <w:t xml:space="preserve"> es una forma de organización del trabajo académico del Departamento de </w:t>
      </w:r>
      <w:r>
        <w:rPr>
          <w:rFonts w:ascii="AvantGarde Bk BT" w:hAnsi="AvantGarde Bk BT"/>
          <w:lang w:val="es-ES_tradnl"/>
        </w:rPr>
        <w:t>Salud y Bienestar</w:t>
      </w:r>
      <w:r>
        <w:rPr>
          <w:rFonts w:ascii="AvantGarde Bk BT" w:hAnsi="AvantGarde Bk BT"/>
        </w:rPr>
        <w:t>, su titular no recibirá remuneración, ni compensación alguna por la dirección que desempeñe.</w:t>
      </w:r>
    </w:p>
    <w:p w:rsidR="009C2A1C" w:rsidRDefault="009C2A1C" w:rsidP="0055121D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E37D05" w:rsidP="0055121D">
      <w:p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  <w:b/>
        </w:rPr>
        <w:t>CUARTO</w:t>
      </w:r>
      <w:r w:rsidR="009C2A1C">
        <w:rPr>
          <w:rFonts w:ascii="AvantGarde Bk BT" w:hAnsi="AvantGarde Bk BT"/>
          <w:b/>
        </w:rPr>
        <w:t>.</w:t>
      </w:r>
      <w:r w:rsidR="009C2A1C">
        <w:rPr>
          <w:rFonts w:ascii="AvantGarde Bk BT" w:hAnsi="AvantGarde Bk BT"/>
        </w:rPr>
        <w:t xml:space="preserve"> El Centro estará ubicado físicamente en las instalaciones del Centro Universitario del Sur y se entenderá como una extensión de éste, los lugares donde sus miembros realicen investigación, pudiendo establecerse laboratorios y otro tipo de instalaciones que estarán a cargo de una persona designada para </w:t>
      </w:r>
      <w:r w:rsidR="00626443">
        <w:rPr>
          <w:rFonts w:ascii="AvantGarde Bk BT" w:hAnsi="AvantGarde Bk BT"/>
        </w:rPr>
        <w:t xml:space="preserve">tal efecto por el Director del </w:t>
      </w:r>
      <w:r w:rsidR="009C2A1C">
        <w:rPr>
          <w:rFonts w:ascii="AvantGarde Bk BT" w:hAnsi="AvantGarde Bk BT"/>
        </w:rPr>
        <w:t>C</w:t>
      </w:r>
      <w:r w:rsidR="00626443">
        <w:rPr>
          <w:rFonts w:ascii="AvantGarde Bk BT" w:hAnsi="AvantGarde Bk BT"/>
        </w:rPr>
        <w:t>entro</w:t>
      </w:r>
      <w:r w:rsidR="009C2A1C">
        <w:rPr>
          <w:rFonts w:ascii="AvantGarde Bk BT" w:hAnsi="AvantGarde Bk BT"/>
        </w:rPr>
        <w:t>.</w:t>
      </w:r>
    </w:p>
    <w:p w:rsidR="009C2A1C" w:rsidRDefault="009C2A1C" w:rsidP="0055121D">
      <w:pPr>
        <w:spacing w:after="0" w:line="240" w:lineRule="auto"/>
        <w:jc w:val="both"/>
        <w:rPr>
          <w:rFonts w:ascii="AvantGarde Bk BT" w:hAnsi="AvantGarde Bk BT"/>
        </w:rPr>
      </w:pPr>
    </w:p>
    <w:p w:rsidR="009C2A1C" w:rsidRDefault="00E37D05" w:rsidP="0055121D">
      <w:pPr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  <w:b/>
        </w:rPr>
        <w:t>QUINTO</w:t>
      </w:r>
      <w:r w:rsidR="009C2A1C">
        <w:rPr>
          <w:rFonts w:ascii="AvantGarde Bk BT" w:hAnsi="AvantGarde Bk BT"/>
        </w:rPr>
        <w:t>. El Centro contará con los instrumentos de planeación, programación, elaboración de presupuesto y evaluación para la realización de sus proyectos o programas, de acu</w:t>
      </w:r>
      <w:r w:rsidR="00626443">
        <w:rPr>
          <w:rFonts w:ascii="AvantGarde Bk BT" w:hAnsi="AvantGarde Bk BT"/>
        </w:rPr>
        <w:t xml:space="preserve">erdo con lo establecido por el </w:t>
      </w:r>
      <w:r w:rsidR="009C2A1C">
        <w:rPr>
          <w:rFonts w:ascii="AvantGarde Bk BT" w:hAnsi="AvantGarde Bk BT"/>
        </w:rPr>
        <w:t xml:space="preserve">Centro Universitario. Estará incorporado económicamente al </w:t>
      </w:r>
      <w:r w:rsidR="00626443">
        <w:rPr>
          <w:rFonts w:ascii="AvantGarde Bk BT" w:hAnsi="AvantGarde Bk BT"/>
        </w:rPr>
        <w:t>Departamento de Salud y Bienestar de la División de Bienestar y Desarrollo Regional del Centro Universitario del Sur</w:t>
      </w:r>
      <w:r w:rsidR="009C2A1C">
        <w:rPr>
          <w:rFonts w:ascii="AvantGarde Bk BT" w:hAnsi="AvantGarde Bk BT"/>
          <w:lang w:val="es-ES_tradnl"/>
        </w:rPr>
        <w:t xml:space="preserve"> </w:t>
      </w:r>
      <w:r w:rsidR="009C2A1C">
        <w:rPr>
          <w:rFonts w:ascii="AvantGarde Bk BT" w:hAnsi="AvantGarde Bk BT"/>
        </w:rPr>
        <w:t>y todo gasto extraordinario será con cargo al techo presupuestal del Centro Universitario del Sur.</w:t>
      </w:r>
    </w:p>
    <w:p w:rsidR="00E75FC6" w:rsidRDefault="00E75FC6">
      <w:pPr>
        <w:rPr>
          <w:rFonts w:ascii="AvantGarde Bk BT" w:hAnsi="AvantGarde Bk BT" w:cs="AvantGarde Bk BT"/>
          <w:lang w:val="es-ES_tradnl"/>
        </w:rPr>
      </w:pPr>
      <w:r>
        <w:rPr>
          <w:rFonts w:ascii="AvantGarde Bk BT" w:hAnsi="AvantGarde Bk BT" w:cs="AvantGarde Bk BT"/>
          <w:lang w:val="es-ES_tradnl"/>
        </w:rPr>
        <w:br w:type="page"/>
      </w:r>
    </w:p>
    <w:p w:rsidR="009C2A1C" w:rsidRDefault="009C2A1C" w:rsidP="0055121D">
      <w:pPr>
        <w:spacing w:after="0" w:line="240" w:lineRule="auto"/>
        <w:jc w:val="both"/>
        <w:rPr>
          <w:rFonts w:ascii="AvantGarde Bk BT" w:hAnsi="AvantGarde Bk BT" w:cs="AvantGarde Bk BT"/>
          <w:lang w:val="es-ES_tradnl"/>
        </w:rPr>
      </w:pPr>
    </w:p>
    <w:p w:rsidR="009C2A1C" w:rsidRDefault="00E37D05" w:rsidP="0055121D">
      <w:pPr>
        <w:pStyle w:val="Textoindependiente"/>
        <w:rPr>
          <w:rFonts w:ascii="AvantGarde Bk BT" w:hAnsi="AvantGarde Bk BT" w:cs="Arial"/>
          <w:szCs w:val="22"/>
          <w:lang w:val="es-MX"/>
        </w:rPr>
      </w:pPr>
      <w:bookmarkStart w:id="0" w:name="_GoBack"/>
      <w:bookmarkEnd w:id="0"/>
      <w:r w:rsidRPr="002358B0">
        <w:rPr>
          <w:rFonts w:ascii="AvantGarde Bk BT" w:hAnsi="AvantGarde Bk BT" w:cs="Arial"/>
          <w:b/>
          <w:szCs w:val="22"/>
          <w:lang w:val="es-MX"/>
        </w:rPr>
        <w:t>SEXTO</w:t>
      </w:r>
      <w:r w:rsidR="009C2A1C" w:rsidRPr="002358B0">
        <w:rPr>
          <w:rFonts w:ascii="AvantGarde Bk BT" w:hAnsi="AvantGarde Bk BT" w:cs="Arial"/>
          <w:szCs w:val="22"/>
          <w:lang w:val="es-MX"/>
        </w:rPr>
        <w:t>. Facúltese al Rector General para que se ejecute el presente dictamen, en los términos del artículo 35, fracción II de la  Ley Orgánica Universitaria.</w:t>
      </w:r>
    </w:p>
    <w:p w:rsidR="009C2A1C" w:rsidRPr="00BC2D02" w:rsidRDefault="009C2A1C" w:rsidP="0055121D">
      <w:pPr>
        <w:spacing w:after="0" w:line="240" w:lineRule="auto"/>
        <w:rPr>
          <w:rFonts w:ascii="AvantGarde Bk BT" w:hAnsi="AvantGarde Bk BT" w:cs="Arial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hAnsi="AvantGarde Bk BT" w:cs="Arial"/>
        </w:rPr>
      </w:pPr>
      <w:r w:rsidRPr="00BC2D02">
        <w:rPr>
          <w:rFonts w:ascii="AvantGarde Bk BT" w:hAnsi="AvantGarde Bk BT" w:cs="Arial"/>
        </w:rPr>
        <w:t>A t e n t a m e n t e</w:t>
      </w: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hAnsi="AvantGarde Bk BT" w:cs="Arial"/>
        </w:rPr>
      </w:pPr>
      <w:r w:rsidRPr="00BC2D02">
        <w:rPr>
          <w:rFonts w:ascii="AvantGarde Bk BT" w:hAnsi="AvantGarde Bk BT" w:cs="Arial"/>
        </w:rPr>
        <w:t>"PIENSA Y TRABAJA"</w:t>
      </w: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hAnsi="AvantGarde Bk BT" w:cs="Arial"/>
        </w:rPr>
      </w:pPr>
      <w:r w:rsidRPr="00BC2D02">
        <w:rPr>
          <w:rFonts w:ascii="AvantGarde Bk BT" w:hAnsi="AvantGarde Bk BT" w:cs="Arial"/>
        </w:rPr>
        <w:t xml:space="preserve">Guadalajara, Jal., </w:t>
      </w:r>
      <w:r>
        <w:rPr>
          <w:rFonts w:ascii="AvantGarde Bk BT" w:hAnsi="AvantGarde Bk BT" w:cs="Arial"/>
        </w:rPr>
        <w:t>24 de abril</w:t>
      </w:r>
      <w:r w:rsidRPr="00BC2D02">
        <w:rPr>
          <w:rFonts w:ascii="AvantGarde Bk BT" w:hAnsi="AvantGarde Bk BT" w:cs="Arial"/>
        </w:rPr>
        <w:t xml:space="preserve"> de 2015</w:t>
      </w: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hAnsi="AvantGarde Bk BT" w:cs="Arial"/>
        </w:rPr>
      </w:pPr>
      <w:r w:rsidRPr="00BC2D02">
        <w:rPr>
          <w:rFonts w:ascii="AvantGarde Bk BT" w:hAnsi="AvantGarde Bk BT" w:cs="Arial"/>
        </w:rPr>
        <w:t>Comisiones Permanentes Conjuntas de Educación y de Hacienda</w:t>
      </w: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hAnsi="AvantGarde Bk BT" w:cs="Arial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hAnsi="AvantGarde Bk BT" w:cs="Arial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bCs/>
          <w:lang w:eastAsia="es-ES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bCs/>
          <w:lang w:eastAsia="es-MX"/>
        </w:rPr>
      </w:pPr>
      <w:r w:rsidRPr="00BC2D02">
        <w:rPr>
          <w:rFonts w:ascii="AvantGarde Bk BT" w:eastAsia="Times New Roman" w:hAnsi="AvantGarde Bk BT" w:cs="Times New Roman"/>
          <w:b/>
          <w:bCs/>
          <w:lang w:eastAsia="es-ES"/>
        </w:rPr>
        <w:t>Mtro. Itzcóatl Tonatiuh Bravo Padilla</w:t>
      </w: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BC2D02">
        <w:rPr>
          <w:rFonts w:ascii="AvantGarde Bk BT" w:eastAsia="Times New Roman" w:hAnsi="AvantGarde Bk BT" w:cs="Times New Roman"/>
          <w:lang w:eastAsia="es-ES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50"/>
      </w:tblGrid>
      <w:tr w:rsidR="009C2A1C" w:rsidRPr="00BC2D02" w:rsidTr="00C60145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Dr. Héctor Raúl Solís Gadea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Dra. Ruth Padilla Muñoz</w:t>
            </w:r>
          </w:p>
        </w:tc>
      </w:tr>
      <w:tr w:rsidR="009C2A1C" w:rsidRPr="00BC2D02" w:rsidTr="00C60145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Dra. Leticia Leal Moya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Mtro. José Alberto Castellanos Gutiérrez</w:t>
            </w:r>
          </w:p>
        </w:tc>
      </w:tr>
      <w:tr w:rsidR="009C2A1C" w:rsidRPr="00BC2D02" w:rsidTr="00C60145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Dr. Héctor Raúl Pérez Gómez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Dr. Martín Vargas Magaña</w:t>
            </w:r>
          </w:p>
        </w:tc>
      </w:tr>
      <w:tr w:rsidR="009C2A1C" w:rsidRPr="00BC2D02" w:rsidTr="00C60145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C. Francisco Javier Álvarez Padilla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2A1C" w:rsidRPr="00BC2D02" w:rsidRDefault="009C2A1C" w:rsidP="00C60145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BC2D02">
              <w:rPr>
                <w:rFonts w:ascii="AvantGarde Bk BT" w:eastAsia="Times New Roman" w:hAnsi="AvantGarde Bk BT" w:cs="Times New Roman"/>
                <w:lang w:eastAsia="es-ES"/>
              </w:rPr>
              <w:t>C. José Alberto Galarza Villaseñor</w:t>
            </w:r>
          </w:p>
        </w:tc>
      </w:tr>
    </w:tbl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</w:p>
    <w:p w:rsidR="009C2A1C" w:rsidRPr="00BC2D02" w:rsidRDefault="009C2A1C" w:rsidP="009C2A1C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bCs/>
          <w:lang w:eastAsia="es-ES"/>
        </w:rPr>
      </w:pPr>
      <w:r w:rsidRPr="00BC2D02">
        <w:rPr>
          <w:rFonts w:ascii="AvantGarde Bk BT" w:eastAsia="Times New Roman" w:hAnsi="AvantGarde Bk BT" w:cs="Times New Roman"/>
          <w:b/>
          <w:bCs/>
          <w:lang w:eastAsia="es-ES"/>
        </w:rPr>
        <w:t>Mtro. José Alfredo Peña Ramos</w:t>
      </w:r>
    </w:p>
    <w:p w:rsidR="009C2A1C" w:rsidRPr="00BC2D02" w:rsidRDefault="009C2A1C" w:rsidP="009C2A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C2D02">
        <w:rPr>
          <w:rFonts w:ascii="AvantGarde Bk BT" w:eastAsia="Times New Roman" w:hAnsi="AvantGarde Bk BT" w:cs="Times New Roman"/>
          <w:lang w:eastAsia="es-ES"/>
        </w:rPr>
        <w:t>Secretario de Actas y Acuerdos</w:t>
      </w:r>
    </w:p>
    <w:p w:rsidR="009C2A1C" w:rsidRPr="00BC2D02" w:rsidRDefault="009C2A1C" w:rsidP="009C2A1C">
      <w:pPr>
        <w:spacing w:after="0" w:line="240" w:lineRule="auto"/>
        <w:jc w:val="right"/>
        <w:rPr>
          <w:b/>
        </w:rPr>
      </w:pPr>
    </w:p>
    <w:sectPr w:rsidR="009C2A1C" w:rsidRPr="00BC2D02" w:rsidSect="009C2A1C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43" w:rsidRDefault="002D6143">
      <w:pPr>
        <w:spacing w:after="0" w:line="240" w:lineRule="auto"/>
      </w:pPr>
      <w:r>
        <w:separator/>
      </w:r>
    </w:p>
  </w:endnote>
  <w:endnote w:type="continuationSeparator" w:id="0">
    <w:p w:rsidR="002D6143" w:rsidRDefault="002D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5D" w:rsidRPr="00DC51E6" w:rsidRDefault="0055121D" w:rsidP="00DC51E6">
    <w:pPr>
      <w:pStyle w:val="Piedepgina"/>
      <w:jc w:val="center"/>
      <w:rPr>
        <w:rFonts w:ascii="AvantGarde Bk BT" w:hAnsi="AvantGarde Bk BT"/>
        <w:sz w:val="14"/>
        <w:szCs w:val="14"/>
      </w:rPr>
    </w:pPr>
    <w:r w:rsidRPr="00DC51E6">
      <w:rPr>
        <w:rFonts w:ascii="AvantGarde Bk BT" w:hAnsi="AvantGarde Bk BT"/>
        <w:sz w:val="14"/>
        <w:szCs w:val="14"/>
      </w:rPr>
      <w:t xml:space="preserve">Página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PAGE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2358B0">
      <w:rPr>
        <w:rFonts w:ascii="AvantGarde Bk BT" w:hAnsi="AvantGarde Bk BT"/>
        <w:b/>
        <w:noProof/>
        <w:sz w:val="14"/>
        <w:szCs w:val="14"/>
      </w:rPr>
      <w:t>6</w:t>
    </w:r>
    <w:r w:rsidRPr="00DC51E6">
      <w:rPr>
        <w:rFonts w:ascii="AvantGarde Bk BT" w:hAnsi="AvantGarde Bk BT"/>
        <w:b/>
        <w:sz w:val="14"/>
        <w:szCs w:val="14"/>
      </w:rPr>
      <w:fldChar w:fldCharType="end"/>
    </w:r>
    <w:r w:rsidRPr="00DC51E6">
      <w:rPr>
        <w:rFonts w:ascii="AvantGarde Bk BT" w:hAnsi="AvantGarde Bk BT"/>
        <w:sz w:val="14"/>
        <w:szCs w:val="14"/>
      </w:rPr>
      <w:t xml:space="preserve"> de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NUMPAGES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2358B0">
      <w:rPr>
        <w:rFonts w:ascii="AvantGarde Bk BT" w:hAnsi="AvantGarde Bk BT"/>
        <w:b/>
        <w:noProof/>
        <w:sz w:val="14"/>
        <w:szCs w:val="14"/>
      </w:rPr>
      <w:t>6</w:t>
    </w:r>
    <w:r w:rsidRPr="00DC51E6">
      <w:rPr>
        <w:rFonts w:ascii="AvantGarde Bk BT" w:hAnsi="AvantGarde Bk BT"/>
        <w:b/>
        <w:sz w:val="14"/>
        <w:szCs w:val="14"/>
      </w:rPr>
      <w:fldChar w:fldCharType="end"/>
    </w:r>
  </w:p>
  <w:p w:rsidR="00A9365D" w:rsidRDefault="002D6143" w:rsidP="00DC51E6">
    <w:pPr>
      <w:pStyle w:val="Piedepgina"/>
      <w:spacing w:line="276" w:lineRule="auto"/>
      <w:jc w:val="center"/>
      <w:rPr>
        <w:sz w:val="17"/>
        <w:szCs w:val="17"/>
      </w:rPr>
    </w:pPr>
  </w:p>
  <w:p w:rsidR="00A9365D" w:rsidRPr="00C85DA2" w:rsidRDefault="0055121D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A9365D" w:rsidRPr="00C85DA2" w:rsidRDefault="0055121D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>243, 12420 y 12457  Tel. dir.</w:t>
    </w:r>
    <w:r w:rsidRPr="00C85DA2">
      <w:rPr>
        <w:sz w:val="17"/>
        <w:szCs w:val="17"/>
      </w:rPr>
      <w:t xml:space="preserve"> 3134 2243 Fax 3134 2278</w:t>
    </w:r>
  </w:p>
  <w:p w:rsidR="00A9365D" w:rsidRPr="00C85DA2" w:rsidRDefault="0055121D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A9365D" w:rsidRPr="00DC51E6" w:rsidRDefault="002D6143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43" w:rsidRDefault="002D6143">
      <w:pPr>
        <w:spacing w:after="0" w:line="240" w:lineRule="auto"/>
      </w:pPr>
      <w:r>
        <w:separator/>
      </w:r>
    </w:p>
  </w:footnote>
  <w:footnote w:type="continuationSeparator" w:id="0">
    <w:p w:rsidR="002D6143" w:rsidRDefault="002D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5D" w:rsidRDefault="0055121D" w:rsidP="007B1178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A1A957" wp14:editId="30EA2AED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1" name="Imagen 1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65D" w:rsidRDefault="002D6143" w:rsidP="007B1178">
    <w:pPr>
      <w:pStyle w:val="Encabezado"/>
      <w:jc w:val="right"/>
      <w:rPr>
        <w:noProof/>
        <w:lang w:val="es-ES" w:eastAsia="es-MX"/>
      </w:rPr>
    </w:pPr>
  </w:p>
  <w:p w:rsidR="00A9365D" w:rsidRDefault="002D6143" w:rsidP="007B1178">
    <w:pPr>
      <w:pStyle w:val="Encabezado"/>
      <w:jc w:val="right"/>
      <w:rPr>
        <w:noProof/>
        <w:lang w:val="es-ES" w:eastAsia="es-MX"/>
      </w:rPr>
    </w:pPr>
  </w:p>
  <w:p w:rsidR="00A9365D" w:rsidRDefault="002D6143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A9365D" w:rsidRPr="007B1178" w:rsidRDefault="0055121D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A9365D" w:rsidRPr="007B1178" w:rsidRDefault="0055121D" w:rsidP="007B1178">
    <w:pPr>
      <w:pStyle w:val="Encabezado"/>
      <w:jc w:val="right"/>
      <w:rPr>
        <w:rFonts w:ascii="AvantGarde Bk BT" w:hAnsi="AvantGarde Bk BT"/>
        <w:lang w:val="es-ES"/>
      </w:rPr>
    </w:pPr>
    <w:r w:rsidRPr="007B1178">
      <w:rPr>
        <w:rFonts w:ascii="AvantGarde Bk BT" w:hAnsi="AvantGarde Bk BT"/>
        <w:noProof/>
        <w:lang w:val="es-ES" w:eastAsia="es-MX"/>
      </w:rPr>
      <w:t>Dictamen Núm. I/201</w:t>
    </w:r>
    <w:r w:rsidR="00304EDC">
      <w:rPr>
        <w:rFonts w:ascii="AvantGarde Bk BT" w:hAnsi="AvantGarde Bk BT"/>
        <w:noProof/>
        <w:lang w:val="es-ES" w:eastAsia="es-MX"/>
      </w:rPr>
      <w:t>5/437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3F6"/>
    <w:multiLevelType w:val="hybridMultilevel"/>
    <w:tmpl w:val="F4F63C6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862E72"/>
    <w:multiLevelType w:val="hybridMultilevel"/>
    <w:tmpl w:val="0F322EBE"/>
    <w:lvl w:ilvl="0" w:tplc="7AF23328">
      <w:start w:val="1"/>
      <w:numFmt w:val="lowerLetter"/>
      <w:lvlText w:val="%1."/>
      <w:lvlJc w:val="left"/>
      <w:pPr>
        <w:ind w:left="1068" w:hanging="360"/>
      </w:pPr>
      <w:rPr>
        <w:rFonts w:ascii="AvantGarde Bk BT" w:hAnsi="AvantGarde Bk BT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71369"/>
    <w:multiLevelType w:val="hybridMultilevel"/>
    <w:tmpl w:val="A0FED542"/>
    <w:lvl w:ilvl="0" w:tplc="080A0019">
      <w:start w:val="1"/>
      <w:numFmt w:val="lowerLetter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4E3C8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A3BB2"/>
    <w:multiLevelType w:val="hybridMultilevel"/>
    <w:tmpl w:val="ABE63E5C"/>
    <w:lvl w:ilvl="0" w:tplc="080A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6EC1"/>
    <w:multiLevelType w:val="singleLevel"/>
    <w:tmpl w:val="699850A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62454094"/>
    <w:multiLevelType w:val="hybridMultilevel"/>
    <w:tmpl w:val="F9A84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9AD2F05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BCB04444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6D273699"/>
    <w:multiLevelType w:val="hybridMultilevel"/>
    <w:tmpl w:val="672C74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C253F3"/>
    <w:multiLevelType w:val="hybridMultilevel"/>
    <w:tmpl w:val="043E08C6"/>
    <w:lvl w:ilvl="0" w:tplc="E93E9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C"/>
    <w:rsid w:val="001304E7"/>
    <w:rsid w:val="001D7060"/>
    <w:rsid w:val="002358B0"/>
    <w:rsid w:val="002D6143"/>
    <w:rsid w:val="00304EDC"/>
    <w:rsid w:val="004429FE"/>
    <w:rsid w:val="00464DAB"/>
    <w:rsid w:val="004808F2"/>
    <w:rsid w:val="0055121D"/>
    <w:rsid w:val="00626443"/>
    <w:rsid w:val="006D5E31"/>
    <w:rsid w:val="007E249F"/>
    <w:rsid w:val="007F17A3"/>
    <w:rsid w:val="00842981"/>
    <w:rsid w:val="0085462F"/>
    <w:rsid w:val="00913D73"/>
    <w:rsid w:val="009C2A1C"/>
    <w:rsid w:val="009C5D8F"/>
    <w:rsid w:val="009E61BB"/>
    <w:rsid w:val="009F3DC4"/>
    <w:rsid w:val="00AB7A36"/>
    <w:rsid w:val="00B8789E"/>
    <w:rsid w:val="00BF705B"/>
    <w:rsid w:val="00C366FC"/>
    <w:rsid w:val="00CC0D9F"/>
    <w:rsid w:val="00D56ACA"/>
    <w:rsid w:val="00DB558C"/>
    <w:rsid w:val="00E37D05"/>
    <w:rsid w:val="00E75FC6"/>
    <w:rsid w:val="00F24DDB"/>
    <w:rsid w:val="00FD3C68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F8041-2C44-4E2E-B148-4F09F3E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1C"/>
  </w:style>
  <w:style w:type="paragraph" w:styleId="Ttulo1">
    <w:name w:val="heading 1"/>
    <w:basedOn w:val="Normal"/>
    <w:next w:val="Normal"/>
    <w:link w:val="Ttulo1Car"/>
    <w:qFormat/>
    <w:rsid w:val="009C2A1C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A1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A1C"/>
  </w:style>
  <w:style w:type="paragraph" w:styleId="Piedepgina">
    <w:name w:val="footer"/>
    <w:basedOn w:val="Normal"/>
    <w:link w:val="PiedepginaCar"/>
    <w:uiPriority w:val="99"/>
    <w:unhideWhenUsed/>
    <w:rsid w:val="009C2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1C"/>
  </w:style>
  <w:style w:type="paragraph" w:styleId="Prrafodelista">
    <w:name w:val="List Paragraph"/>
    <w:basedOn w:val="Normal"/>
    <w:uiPriority w:val="34"/>
    <w:qFormat/>
    <w:rsid w:val="009C2A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C2A1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A1C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C2A1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2A1C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8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8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8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8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8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CD94-1476-4134-947D-86892AD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1406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RosymercadoSG</dc:creator>
  <cp:lastModifiedBy>hugo sanchez woo</cp:lastModifiedBy>
  <cp:revision>21</cp:revision>
  <cp:lastPrinted>2015-05-19T15:05:00Z</cp:lastPrinted>
  <dcterms:created xsi:type="dcterms:W3CDTF">2015-04-21T14:21:00Z</dcterms:created>
  <dcterms:modified xsi:type="dcterms:W3CDTF">2015-07-27T14:39:00Z</dcterms:modified>
</cp:coreProperties>
</file>